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b/>
          <w:bCs/>
          <w:sz w:val="36"/>
          <w:szCs w:val="36"/>
          <w:lang w:val="en-US"/>
        </w:rPr>
      </w:pPr>
      <w:r>
        <w:rPr>
          <w:rFonts w:hint="eastAsia"/>
          <w:b/>
          <w:bCs/>
          <w:sz w:val="36"/>
          <w:szCs w:val="36"/>
          <w:lang w:val="en-US" w:eastAsia="zh-CN"/>
        </w:rPr>
        <w:t>2026年行政执法决定统计表</w:t>
      </w:r>
    </w:p>
    <w:tbl>
      <w:tblPr>
        <w:tblStyle w:val="2"/>
        <w:tblW w:w="144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2"/>
        <w:gridCol w:w="2378"/>
        <w:gridCol w:w="2347"/>
        <w:gridCol w:w="2475"/>
        <w:gridCol w:w="1583"/>
        <w:gridCol w:w="1900"/>
        <w:gridCol w:w="2057"/>
        <w:gridCol w:w="8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tcBorders>
              <w:top w:val="single" w:color="auto" w:sz="4" w:space="0"/>
              <w:left w:val="single" w:color="auto" w:sz="4" w:space="0"/>
              <w:bottom w:val="single" w:color="auto" w:sz="4" w:space="0"/>
              <w:right w:val="single" w:color="auto" w:sz="4" w:space="0"/>
            </w:tcBorders>
            <w:noWrap w:val="0"/>
            <w:vAlign w:val="center"/>
          </w:tcPr>
          <w:p>
            <w:pPr>
              <w:tabs>
                <w:tab w:val="center" w:pos="4153"/>
                <w:tab w:val="right" w:pos="8306"/>
              </w:tabs>
              <w:snapToGrid w:val="0"/>
              <w:jc w:val="center"/>
              <w:rPr>
                <w:rFonts w:hint="eastAsia" w:eastAsia="宋体"/>
                <w:sz w:val="28"/>
                <w:szCs w:val="28"/>
                <w:lang w:val="en-US" w:eastAsia="zh-CN"/>
              </w:rPr>
            </w:pPr>
            <w:r>
              <w:rPr>
                <w:rFonts w:hint="eastAsia"/>
                <w:sz w:val="28"/>
                <w:szCs w:val="28"/>
                <w:lang w:val="en-US" w:eastAsia="zh-CN"/>
              </w:rPr>
              <w:t>序号</w:t>
            </w:r>
          </w:p>
        </w:tc>
        <w:tc>
          <w:tcPr>
            <w:tcW w:w="2378" w:type="dxa"/>
            <w:tcBorders>
              <w:top w:val="single" w:color="auto" w:sz="4" w:space="0"/>
              <w:left w:val="single" w:color="auto" w:sz="4" w:space="0"/>
              <w:bottom w:val="single" w:color="auto" w:sz="4" w:space="0"/>
              <w:right w:val="single" w:color="auto" w:sz="4" w:space="0"/>
            </w:tcBorders>
            <w:noWrap w:val="0"/>
            <w:vAlign w:val="center"/>
          </w:tcPr>
          <w:p>
            <w:pPr>
              <w:tabs>
                <w:tab w:val="center" w:pos="4153"/>
                <w:tab w:val="right" w:pos="8306"/>
              </w:tabs>
              <w:snapToGrid w:val="0"/>
              <w:jc w:val="center"/>
              <w:rPr>
                <w:sz w:val="28"/>
                <w:szCs w:val="28"/>
              </w:rPr>
            </w:pPr>
            <w:r>
              <w:rPr>
                <w:rFonts w:hint="eastAsia"/>
                <w:sz w:val="28"/>
                <w:szCs w:val="28"/>
              </w:rPr>
              <w:t>文号</w:t>
            </w:r>
          </w:p>
        </w:tc>
        <w:tc>
          <w:tcPr>
            <w:tcW w:w="2347" w:type="dxa"/>
            <w:tcBorders>
              <w:top w:val="single" w:color="auto" w:sz="4" w:space="0"/>
              <w:left w:val="single" w:color="auto" w:sz="4" w:space="0"/>
              <w:bottom w:val="single" w:color="auto" w:sz="4" w:space="0"/>
              <w:right w:val="single" w:color="auto" w:sz="4" w:space="0"/>
            </w:tcBorders>
            <w:noWrap w:val="0"/>
            <w:vAlign w:val="center"/>
          </w:tcPr>
          <w:p>
            <w:pPr>
              <w:tabs>
                <w:tab w:val="center" w:pos="4153"/>
                <w:tab w:val="right" w:pos="8306"/>
              </w:tabs>
              <w:snapToGrid w:val="0"/>
              <w:jc w:val="center"/>
              <w:rPr>
                <w:rFonts w:hint="default" w:eastAsia="宋体"/>
                <w:sz w:val="28"/>
                <w:szCs w:val="28"/>
                <w:lang w:val="en-US" w:eastAsia="zh-CN"/>
              </w:rPr>
            </w:pPr>
            <w:r>
              <w:rPr>
                <w:rFonts w:hint="eastAsia"/>
                <w:sz w:val="28"/>
                <w:szCs w:val="28"/>
              </w:rPr>
              <w:t>案</w:t>
            </w:r>
            <w:r>
              <w:rPr>
                <w:rFonts w:hint="eastAsia"/>
                <w:sz w:val="28"/>
                <w:szCs w:val="28"/>
                <w:lang w:val="en-US" w:eastAsia="zh-CN"/>
              </w:rPr>
              <w:t>件名称</w:t>
            </w:r>
          </w:p>
        </w:tc>
        <w:tc>
          <w:tcPr>
            <w:tcW w:w="2475" w:type="dxa"/>
            <w:tcBorders>
              <w:top w:val="single" w:color="auto" w:sz="4" w:space="0"/>
              <w:left w:val="single" w:color="auto" w:sz="4" w:space="0"/>
              <w:bottom w:val="single" w:color="auto" w:sz="4" w:space="0"/>
              <w:right w:val="single" w:color="auto" w:sz="4" w:space="0"/>
            </w:tcBorders>
            <w:noWrap w:val="0"/>
            <w:vAlign w:val="center"/>
          </w:tcPr>
          <w:p>
            <w:pPr>
              <w:tabs>
                <w:tab w:val="center" w:pos="4153"/>
                <w:tab w:val="right" w:pos="8306"/>
              </w:tabs>
              <w:snapToGrid w:val="0"/>
              <w:jc w:val="center"/>
              <w:rPr>
                <w:rFonts w:hint="eastAsia" w:ascii="Calibri" w:hAnsi="Calibri" w:eastAsia="宋体" w:cs="Times New Roman"/>
                <w:kern w:val="2"/>
                <w:sz w:val="28"/>
                <w:szCs w:val="28"/>
                <w:lang w:val="en-US" w:eastAsia="zh-CN" w:bidi="ar-SA"/>
              </w:rPr>
            </w:pPr>
            <w:r>
              <w:rPr>
                <w:rFonts w:hint="eastAsia"/>
                <w:sz w:val="28"/>
                <w:szCs w:val="28"/>
              </w:rPr>
              <w:t>决定</w:t>
            </w:r>
            <w:r>
              <w:rPr>
                <w:rFonts w:hint="eastAsia"/>
                <w:sz w:val="28"/>
                <w:szCs w:val="28"/>
                <w:lang w:val="en-US" w:eastAsia="zh-CN"/>
              </w:rPr>
              <w:t>时间</w:t>
            </w:r>
          </w:p>
        </w:tc>
        <w:tc>
          <w:tcPr>
            <w:tcW w:w="1583" w:type="dxa"/>
            <w:tcBorders>
              <w:top w:val="single" w:color="auto" w:sz="4" w:space="0"/>
              <w:left w:val="single" w:color="auto" w:sz="4" w:space="0"/>
              <w:bottom w:val="single" w:color="auto" w:sz="4" w:space="0"/>
              <w:right w:val="single" w:color="auto" w:sz="4" w:space="0"/>
            </w:tcBorders>
            <w:noWrap w:val="0"/>
            <w:vAlign w:val="center"/>
          </w:tcPr>
          <w:p>
            <w:pPr>
              <w:tabs>
                <w:tab w:val="center" w:pos="4153"/>
                <w:tab w:val="right" w:pos="8306"/>
              </w:tabs>
              <w:snapToGrid w:val="0"/>
              <w:jc w:val="center"/>
              <w:rPr>
                <w:rFonts w:hint="default" w:eastAsia="宋体"/>
                <w:sz w:val="28"/>
                <w:szCs w:val="28"/>
                <w:lang w:val="en-US" w:eastAsia="zh-CN"/>
              </w:rPr>
            </w:pPr>
            <w:r>
              <w:rPr>
                <w:rFonts w:hint="eastAsia"/>
                <w:sz w:val="28"/>
                <w:szCs w:val="28"/>
                <w:lang w:val="en-US" w:eastAsia="zh-CN"/>
              </w:rPr>
              <w:t>案件类型</w:t>
            </w:r>
          </w:p>
        </w:tc>
        <w:tc>
          <w:tcPr>
            <w:tcW w:w="1900" w:type="dxa"/>
            <w:tcBorders>
              <w:top w:val="single" w:color="auto" w:sz="4" w:space="0"/>
              <w:left w:val="single" w:color="auto" w:sz="4" w:space="0"/>
              <w:bottom w:val="single" w:color="auto" w:sz="4" w:space="0"/>
              <w:right w:val="single" w:color="auto" w:sz="4" w:space="0"/>
            </w:tcBorders>
            <w:noWrap w:val="0"/>
            <w:vAlign w:val="center"/>
          </w:tcPr>
          <w:p>
            <w:pPr>
              <w:tabs>
                <w:tab w:val="center" w:pos="4153"/>
                <w:tab w:val="right" w:pos="8306"/>
              </w:tabs>
              <w:snapToGrid w:val="0"/>
              <w:jc w:val="center"/>
              <w:rPr>
                <w:rFonts w:hint="default" w:eastAsia="宋体"/>
                <w:sz w:val="28"/>
                <w:szCs w:val="28"/>
                <w:lang w:val="en-US" w:eastAsia="zh-CN"/>
              </w:rPr>
            </w:pPr>
            <w:r>
              <w:rPr>
                <w:rFonts w:hint="eastAsia"/>
                <w:sz w:val="28"/>
                <w:szCs w:val="28"/>
                <w:lang w:val="en-US" w:eastAsia="zh-CN"/>
              </w:rPr>
              <w:t>没收额（万元）</w:t>
            </w:r>
          </w:p>
        </w:tc>
        <w:tc>
          <w:tcPr>
            <w:tcW w:w="2057" w:type="dxa"/>
            <w:tcBorders>
              <w:top w:val="single" w:color="auto" w:sz="4" w:space="0"/>
              <w:left w:val="single" w:color="auto" w:sz="4" w:space="0"/>
              <w:bottom w:val="single" w:color="auto" w:sz="4" w:space="0"/>
              <w:right w:val="single" w:color="auto" w:sz="4" w:space="0"/>
            </w:tcBorders>
            <w:noWrap w:val="0"/>
            <w:vAlign w:val="center"/>
          </w:tcPr>
          <w:p>
            <w:pPr>
              <w:tabs>
                <w:tab w:val="center" w:pos="4153"/>
                <w:tab w:val="right" w:pos="8306"/>
              </w:tabs>
              <w:snapToGrid w:val="0"/>
              <w:jc w:val="center"/>
              <w:rPr>
                <w:rFonts w:hint="default" w:eastAsia="宋体"/>
                <w:sz w:val="28"/>
                <w:szCs w:val="28"/>
                <w:lang w:val="en-US" w:eastAsia="zh-CN"/>
              </w:rPr>
            </w:pPr>
            <w:r>
              <w:rPr>
                <w:rFonts w:hint="eastAsia"/>
                <w:sz w:val="28"/>
                <w:szCs w:val="28"/>
                <w:lang w:val="en-US" w:eastAsia="zh-CN"/>
              </w:rPr>
              <w:t>罚款额（万元）</w:t>
            </w:r>
          </w:p>
        </w:tc>
        <w:tc>
          <w:tcPr>
            <w:tcW w:w="828" w:type="dxa"/>
            <w:tcBorders>
              <w:top w:val="single" w:color="auto" w:sz="4" w:space="0"/>
              <w:left w:val="single" w:color="auto" w:sz="4" w:space="0"/>
              <w:bottom w:val="single" w:color="auto" w:sz="4" w:space="0"/>
              <w:right w:val="single" w:color="auto" w:sz="4" w:space="0"/>
            </w:tcBorders>
            <w:noWrap w:val="0"/>
            <w:vAlign w:val="center"/>
          </w:tcPr>
          <w:p>
            <w:pPr>
              <w:tabs>
                <w:tab w:val="center" w:pos="4153"/>
                <w:tab w:val="right" w:pos="8306"/>
              </w:tabs>
              <w:snapToGrid w:val="0"/>
              <w:jc w:val="center"/>
              <w:rPr>
                <w:rFonts w:hint="default"/>
                <w:sz w:val="28"/>
                <w:szCs w:val="28"/>
                <w:lang w:val="en-US" w:eastAsia="zh-CN"/>
              </w:rPr>
            </w:pPr>
            <w:r>
              <w:rPr>
                <w:rFonts w:hint="eastAsia"/>
                <w:sz w:val="28"/>
                <w:szCs w:val="28"/>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9" w:hRule="atLeast"/>
        </w:trPr>
        <w:tc>
          <w:tcPr>
            <w:tcW w:w="862"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cs="宋体"/>
                <w:sz w:val="28"/>
                <w:szCs w:val="28"/>
                <w:lang w:val="en-US" w:eastAsia="zh-CN"/>
              </w:rPr>
            </w:pPr>
            <w:r>
              <w:rPr>
                <w:rFonts w:hint="eastAsia" w:ascii="宋体" w:hAnsi="宋体" w:cs="宋体"/>
                <w:sz w:val="28"/>
                <w:szCs w:val="28"/>
                <w:lang w:val="en-US" w:eastAsia="zh-CN"/>
              </w:rPr>
              <w:t>1</w:t>
            </w:r>
          </w:p>
        </w:tc>
        <w:tc>
          <w:tcPr>
            <w:tcW w:w="237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cs="Times New Roman"/>
                <w:sz w:val="24"/>
                <w:szCs w:val="28"/>
                <w:lang w:val="en-US" w:eastAsia="zh-CN"/>
              </w:rPr>
            </w:pPr>
            <w:r>
              <w:rPr>
                <w:rFonts w:hint="eastAsia" w:eastAsia="宋体" w:cs="Times New Roman"/>
                <w:sz w:val="24"/>
                <w:szCs w:val="28"/>
                <w:lang w:val="en-US" w:eastAsia="zh-CN"/>
              </w:rPr>
              <w:t>本市监处罚〔2026〕34号</w:t>
            </w:r>
          </w:p>
        </w:tc>
        <w:tc>
          <w:tcPr>
            <w:tcW w:w="2347"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cs="Times New Roman"/>
                <w:sz w:val="24"/>
                <w:szCs w:val="28"/>
                <w:lang w:val="en-US" w:eastAsia="zh-CN"/>
              </w:rPr>
            </w:pPr>
            <w:r>
              <w:rPr>
                <w:rFonts w:hint="eastAsia" w:cs="Times New Roman"/>
                <w:sz w:val="24"/>
                <w:szCs w:val="28"/>
                <w:lang w:val="en-US" w:eastAsia="zh-CN"/>
              </w:rPr>
              <w:t>本溪高新技术产业开发区灵福堂殡仪中心未执行政府定价重复收费和未按规定明码标价案</w:t>
            </w:r>
          </w:p>
        </w:tc>
        <w:tc>
          <w:tcPr>
            <w:tcW w:w="247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cs="Times New Roman"/>
                <w:sz w:val="24"/>
                <w:szCs w:val="28"/>
                <w:lang w:val="en-US" w:eastAsia="zh-CN"/>
              </w:rPr>
            </w:pPr>
            <w:r>
              <w:rPr>
                <w:rFonts w:hint="eastAsia" w:eastAsia="宋体" w:cs="Times New Roman"/>
                <w:sz w:val="24"/>
                <w:szCs w:val="28"/>
                <w:lang w:val="en-US" w:eastAsia="zh-CN"/>
              </w:rPr>
              <w:t>2026年7月2日</w:t>
            </w:r>
          </w:p>
        </w:tc>
        <w:tc>
          <w:tcPr>
            <w:tcW w:w="1583"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cs="Times New Roman"/>
                <w:sz w:val="24"/>
                <w:szCs w:val="28"/>
                <w:lang w:val="en-US" w:eastAsia="zh-CN"/>
              </w:rPr>
            </w:pPr>
            <w:r>
              <w:rPr>
                <w:rFonts w:hint="eastAsia" w:eastAsia="宋体" w:cs="Times New Roman"/>
                <w:sz w:val="24"/>
                <w:szCs w:val="28"/>
                <w:lang w:val="en-US" w:eastAsia="zh-CN"/>
              </w:rPr>
              <w:t>价格违法</w:t>
            </w:r>
          </w:p>
        </w:tc>
        <w:tc>
          <w:tcPr>
            <w:tcW w:w="19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cs="Times New Roman"/>
                <w:sz w:val="24"/>
                <w:szCs w:val="28"/>
                <w:lang w:val="en-US" w:eastAsia="zh-CN"/>
              </w:rPr>
            </w:pPr>
            <w:bookmarkStart w:id="0" w:name="_GoBack"/>
            <w:bookmarkEnd w:id="0"/>
            <w:r>
              <w:rPr>
                <w:rFonts w:hint="eastAsia" w:cs="Times New Roman"/>
                <w:sz w:val="24"/>
                <w:szCs w:val="28"/>
                <w:lang w:val="en-US" w:eastAsia="zh-CN"/>
              </w:rPr>
              <w:t>0.99</w:t>
            </w:r>
          </w:p>
        </w:tc>
        <w:tc>
          <w:tcPr>
            <w:tcW w:w="2057"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cs="Times New Roman"/>
                <w:sz w:val="24"/>
                <w:szCs w:val="28"/>
                <w:lang w:val="en-US" w:eastAsia="zh-CN"/>
              </w:rPr>
            </w:pPr>
            <w:r>
              <w:rPr>
                <w:rFonts w:hint="eastAsia" w:cs="Times New Roman"/>
                <w:sz w:val="24"/>
                <w:szCs w:val="28"/>
                <w:lang w:val="en-US" w:eastAsia="zh-CN"/>
              </w:rPr>
              <w:t>0.99</w:t>
            </w:r>
          </w:p>
        </w:tc>
        <w:tc>
          <w:tcPr>
            <w:tcW w:w="82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sz w:val="28"/>
                <w:szCs w:val="28"/>
                <w:lang w:val="en-US" w:eastAsia="zh-CN"/>
              </w:rPr>
            </w:pP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75439F"/>
    <w:rsid w:val="003617E6"/>
    <w:rsid w:val="05DF6ACD"/>
    <w:rsid w:val="0D5E59FB"/>
    <w:rsid w:val="0D624402"/>
    <w:rsid w:val="1168681B"/>
    <w:rsid w:val="122968D9"/>
    <w:rsid w:val="156173A0"/>
    <w:rsid w:val="22ED32DA"/>
    <w:rsid w:val="248C597F"/>
    <w:rsid w:val="27B3664F"/>
    <w:rsid w:val="2888100C"/>
    <w:rsid w:val="28EE4234"/>
    <w:rsid w:val="2A3D65B1"/>
    <w:rsid w:val="31AE180F"/>
    <w:rsid w:val="32E33E0A"/>
    <w:rsid w:val="37AC3D63"/>
    <w:rsid w:val="3A083BC2"/>
    <w:rsid w:val="3C09460C"/>
    <w:rsid w:val="3DE42C19"/>
    <w:rsid w:val="3ED65A24"/>
    <w:rsid w:val="4375439F"/>
    <w:rsid w:val="440E14B4"/>
    <w:rsid w:val="493801AD"/>
    <w:rsid w:val="4D4A3E5A"/>
    <w:rsid w:val="4FEB7F89"/>
    <w:rsid w:val="51FB017D"/>
    <w:rsid w:val="52781559"/>
    <w:rsid w:val="52C43BD6"/>
    <w:rsid w:val="532A6DFE"/>
    <w:rsid w:val="545F13F9"/>
    <w:rsid w:val="55FB6C1C"/>
    <w:rsid w:val="5A001035"/>
    <w:rsid w:val="5B7B518D"/>
    <w:rsid w:val="5F8935CB"/>
    <w:rsid w:val="5F8B6ACE"/>
    <w:rsid w:val="618B4015"/>
    <w:rsid w:val="621D4A64"/>
    <w:rsid w:val="63F50C0B"/>
    <w:rsid w:val="65054EC7"/>
    <w:rsid w:val="69DE6A3D"/>
    <w:rsid w:val="69E563C8"/>
    <w:rsid w:val="6AB14817"/>
    <w:rsid w:val="6B1A09C3"/>
    <w:rsid w:val="6EB76C30"/>
    <w:rsid w:val="77100FE4"/>
    <w:rsid w:val="7776420B"/>
    <w:rsid w:val="7A465F7C"/>
    <w:rsid w:val="7A474029"/>
    <w:rsid w:val="7AFD12F1"/>
    <w:rsid w:val="7C6F3F10"/>
    <w:rsid w:val="7E4313B6"/>
    <w:rsid w:val="7FBB6F87"/>
    <w:rsid w:val="7FBB9B78"/>
    <w:rsid w:val="9EFC69F6"/>
    <w:rsid w:val="AFBF2CA2"/>
    <w:rsid w:val="BDB7CBC0"/>
    <w:rsid w:val="F7FD39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80</Words>
  <Characters>100</Characters>
  <Lines>0</Lines>
  <Paragraphs>0</Paragraphs>
  <TotalTime>0</TotalTime>
  <ScaleCrop>false</ScaleCrop>
  <LinksUpToDate>false</LinksUpToDate>
  <CharactersWithSpaces>100</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2025-01-13T16:41:00Z</dcterms:created>
  <dc:creator>兴胜</dc:creator>
  <cp:lastModifiedBy>user</cp:lastModifiedBy>
  <dcterms:modified xsi:type="dcterms:W3CDTF">2026-07-15T16:58:15Z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y fmtid="{D5CDD505-2E9C-101B-9397-08002B2CF9AE}" pid="3" name="ICV">
    <vt:lpwstr>262921A42C904D14B01087ED416AFC5E_13</vt:lpwstr>
  </property>
  <property fmtid="{D5CDD505-2E9C-101B-9397-08002B2CF9AE}" pid="4" name="KSOTemplateDocerSaveRecord">
    <vt:lpwstr>eyJoZGlkIjoiMmY3NzkxYThlZWFjNWY1M2RlOTkxYzYyOGQ0NDMyZTkiLCJ1c2VySWQiOiIzNzM4MDY2MzYifQ==</vt:lpwstr>
  </property>
</Properties>
</file>