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40" w:lineRule="exact"/>
        <w:jc w:val="center"/>
        <w:rPr>
          <w:rFonts w:eastAsia="方正小标宋简体"/>
          <w:color w:val="000000"/>
          <w:sz w:val="32"/>
          <w:szCs w:val="32"/>
        </w:rPr>
      </w:pPr>
      <w:r>
        <w:rPr>
          <w:rFonts w:hint="eastAsia" w:eastAsia="方正小标宋简体"/>
          <w:color w:val="000000"/>
          <w:sz w:val="32"/>
          <w:szCs w:val="32"/>
          <w:lang w:eastAsia="zh-CN"/>
        </w:rPr>
        <w:t>本溪市</w:t>
      </w:r>
      <w:bookmarkStart w:id="2" w:name="_GoBack"/>
      <w:bookmarkEnd w:id="2"/>
      <w:r>
        <w:rPr>
          <w:rFonts w:eastAsia="方正小标宋简体"/>
          <w:color w:val="000000"/>
          <w:sz w:val="32"/>
          <w:szCs w:val="32"/>
        </w:rPr>
        <w:t>手提式</w:t>
      </w:r>
      <w:r>
        <w:rPr>
          <w:rFonts w:hint="eastAsia" w:eastAsia="方正小标宋简体"/>
          <w:color w:val="000000"/>
          <w:sz w:val="32"/>
          <w:szCs w:val="32"/>
        </w:rPr>
        <w:t>干粉</w:t>
      </w:r>
      <w:r>
        <w:rPr>
          <w:rFonts w:eastAsia="方正小标宋简体"/>
          <w:color w:val="000000"/>
          <w:sz w:val="32"/>
          <w:szCs w:val="32"/>
        </w:rPr>
        <w:t>灭火器产品质量监督抽查实施细则</w:t>
      </w:r>
    </w:p>
    <w:p>
      <w:pPr>
        <w:snapToGrid w:val="0"/>
        <w:spacing w:line="440" w:lineRule="exact"/>
        <w:ind w:firstLine="359" w:firstLineChars="171"/>
        <w:rPr>
          <w:color w:val="000000"/>
          <w:szCs w:val="21"/>
        </w:rPr>
      </w:pPr>
    </w:p>
    <w:p>
      <w:pPr>
        <w:snapToGrid w:val="0"/>
        <w:spacing w:line="440" w:lineRule="exact"/>
        <w:rPr>
          <w:rFonts w:eastAsia="黑体"/>
          <w:color w:val="000000"/>
          <w:szCs w:val="21"/>
        </w:rPr>
      </w:pPr>
      <w:r>
        <w:rPr>
          <w:rFonts w:eastAsia="黑体"/>
          <w:color w:val="000000"/>
          <w:szCs w:val="21"/>
        </w:rPr>
        <w:t>1 抽样方法</w:t>
      </w:r>
    </w:p>
    <w:p>
      <w:pPr>
        <w:snapToGrid w:val="0"/>
        <w:spacing w:line="440" w:lineRule="exact"/>
        <w:ind w:firstLine="420" w:firstLineChars="200"/>
        <w:rPr>
          <w:color w:val="000000"/>
          <w:szCs w:val="21"/>
        </w:rPr>
      </w:pPr>
      <w:r>
        <w:rPr>
          <w:color w:val="000000"/>
          <w:szCs w:val="21"/>
        </w:rPr>
        <w:t>以随机抽样的方式在被抽样生产者、销售者的待销产品中抽取。</w:t>
      </w:r>
    </w:p>
    <w:p>
      <w:pPr>
        <w:snapToGrid w:val="0"/>
        <w:spacing w:line="440" w:lineRule="exact"/>
        <w:ind w:firstLine="420" w:firstLineChars="200"/>
        <w:rPr>
          <w:color w:val="000000"/>
          <w:szCs w:val="21"/>
        </w:rPr>
      </w:pPr>
      <w:r>
        <w:rPr>
          <w:color w:val="000000"/>
          <w:szCs w:val="21"/>
        </w:rPr>
        <w:t>随机数一般可使用随机数表等方法产生。</w:t>
      </w:r>
    </w:p>
    <w:p>
      <w:pPr>
        <w:snapToGrid w:val="0"/>
        <w:spacing w:line="440" w:lineRule="exact"/>
        <w:ind w:firstLine="420" w:firstLineChars="200"/>
        <w:rPr>
          <w:color w:val="000000"/>
          <w:szCs w:val="21"/>
        </w:rPr>
      </w:pPr>
      <w:r>
        <w:rPr>
          <w:color w:val="000000"/>
          <w:szCs w:val="21"/>
        </w:rPr>
        <w:t>每批次产品抽取样品</w:t>
      </w:r>
      <w:r>
        <w:rPr>
          <w:rFonts w:hint="eastAsia"/>
          <w:color w:val="000000"/>
          <w:szCs w:val="21"/>
          <w:lang w:val="en-US" w:eastAsia="zh-CN"/>
        </w:rPr>
        <w:t>8</w:t>
      </w:r>
      <w:r>
        <w:rPr>
          <w:color w:val="000000"/>
          <w:szCs w:val="21"/>
        </w:rPr>
        <w:t>具，其中</w:t>
      </w:r>
      <w:r>
        <w:rPr>
          <w:rFonts w:hint="eastAsia"/>
          <w:color w:val="000000"/>
          <w:szCs w:val="21"/>
          <w:lang w:val="en-US" w:eastAsia="zh-CN"/>
        </w:rPr>
        <w:t>4</w:t>
      </w:r>
      <w:r>
        <w:rPr>
          <w:color w:val="000000"/>
          <w:szCs w:val="21"/>
        </w:rPr>
        <w:t>具为检验样品，</w:t>
      </w:r>
      <w:r>
        <w:rPr>
          <w:rFonts w:hint="eastAsia"/>
          <w:color w:val="000000"/>
          <w:szCs w:val="21"/>
          <w:lang w:val="en-US" w:eastAsia="zh-CN"/>
        </w:rPr>
        <w:t>4</w:t>
      </w:r>
      <w:r>
        <w:rPr>
          <w:color w:val="000000"/>
          <w:szCs w:val="21"/>
        </w:rPr>
        <w:t>具为备用样品。</w:t>
      </w:r>
    </w:p>
    <w:p>
      <w:pPr>
        <w:snapToGrid w:val="0"/>
        <w:spacing w:line="440" w:lineRule="exact"/>
        <w:ind w:firstLine="420" w:firstLineChars="200"/>
        <w:rPr>
          <w:color w:val="000000"/>
          <w:szCs w:val="21"/>
        </w:rPr>
      </w:pPr>
    </w:p>
    <w:p>
      <w:pPr>
        <w:snapToGrid w:val="0"/>
        <w:spacing w:line="440" w:lineRule="exact"/>
        <w:rPr>
          <w:rFonts w:eastAsia="黑体"/>
          <w:color w:val="000000"/>
          <w:szCs w:val="21"/>
        </w:rPr>
      </w:pPr>
      <w:r>
        <w:rPr>
          <w:rFonts w:eastAsia="黑体"/>
          <w:color w:val="000000"/>
          <w:szCs w:val="21"/>
        </w:rPr>
        <w:t>2 检验依据</w:t>
      </w:r>
    </w:p>
    <w:tbl>
      <w:tblPr>
        <w:tblStyle w:val="5"/>
        <w:tblpPr w:leftFromText="180" w:rightFromText="180" w:vertAnchor="text" w:horzAnchor="page" w:tblpX="1460" w:tblpY="419"/>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632"/>
        <w:gridCol w:w="2580"/>
        <w:gridCol w:w="2184"/>
        <w:gridCol w:w="2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序号</w:t>
            </w:r>
          </w:p>
        </w:tc>
        <w:tc>
          <w:tcPr>
            <w:tcW w:w="4212" w:type="dxa"/>
            <w:gridSpan w:val="2"/>
            <w:tcBorders>
              <w:top w:val="single" w:color="auto" w:sz="4" w:space="0"/>
              <w:left w:val="nil"/>
              <w:bottom w:val="single" w:color="auto" w:sz="4" w:space="0"/>
              <w:right w:val="single" w:color="auto" w:sz="4" w:space="0"/>
            </w:tcBorders>
            <w:noWrap w:val="0"/>
            <w:vAlign w:val="center"/>
          </w:tcPr>
          <w:p>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检验项目</w:t>
            </w:r>
          </w:p>
        </w:tc>
        <w:tc>
          <w:tcPr>
            <w:tcW w:w="218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宋体" w:hAnsi="宋体" w:eastAsia="宋体" w:cs="宋体"/>
                <w:szCs w:val="21"/>
              </w:rPr>
            </w:pPr>
            <w:r>
              <w:rPr>
                <w:rFonts w:hint="eastAsia" w:ascii="宋体" w:hAnsi="宋体" w:eastAsia="宋体" w:cs="宋体"/>
                <w:color w:val="000000"/>
                <w:szCs w:val="21"/>
              </w:rPr>
              <w:t>检验依据</w:t>
            </w:r>
          </w:p>
        </w:tc>
        <w:tc>
          <w:tcPr>
            <w:tcW w:w="21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vMerge w:val="restart"/>
            <w:tcBorders>
              <w:top w:val="single" w:color="auto" w:sz="4" w:space="0"/>
              <w:left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szCs w:val="21"/>
              </w:rPr>
            </w:pPr>
            <w:r>
              <w:rPr>
                <w:rFonts w:hint="eastAsia" w:ascii="宋体" w:hAnsi="宋体" w:eastAsia="宋体" w:cs="宋体"/>
                <w:szCs w:val="21"/>
              </w:rPr>
              <w:t>1</w:t>
            </w:r>
          </w:p>
        </w:tc>
        <w:tc>
          <w:tcPr>
            <w:tcW w:w="1632" w:type="dxa"/>
            <w:vMerge w:val="restart"/>
            <w:tcBorders>
              <w:top w:val="single" w:color="auto" w:sz="4" w:space="0"/>
              <w:left w:val="nil"/>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20℃时喷射性能</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有效喷射时间</w:t>
            </w:r>
          </w:p>
        </w:tc>
        <w:tc>
          <w:tcPr>
            <w:tcW w:w="2184" w:type="dxa"/>
            <w:tcBorders>
              <w:top w:val="single" w:color="auto" w:sz="4" w:space="0"/>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bookmarkStart w:id="0" w:name="OLE_LINK2"/>
            <w:bookmarkStart w:id="1" w:name="OLE_LINK1"/>
            <w:r>
              <w:rPr>
                <w:rFonts w:hint="eastAsia" w:ascii="宋体" w:hAnsi="宋体" w:eastAsia="宋体" w:cs="宋体"/>
                <w:color w:val="000000"/>
                <w:szCs w:val="21"/>
              </w:rPr>
              <w:t>GB 4351—2023</w:t>
            </w:r>
          </w:p>
          <w:bookmarkEnd w:id="0"/>
          <w:bookmarkEnd w:id="1"/>
        </w:tc>
        <w:tc>
          <w:tcPr>
            <w:tcW w:w="2148" w:type="dxa"/>
            <w:tcBorders>
              <w:top w:val="single" w:color="auto" w:sz="4" w:space="0"/>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vMerge w:val="continue"/>
            <w:tcBorders>
              <w:left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szCs w:val="21"/>
              </w:rPr>
            </w:pPr>
          </w:p>
        </w:tc>
        <w:tc>
          <w:tcPr>
            <w:tcW w:w="1632" w:type="dxa"/>
            <w:vMerge w:val="continue"/>
            <w:tcBorders>
              <w:left w:val="nil"/>
              <w:right w:val="single" w:color="auto" w:sz="4" w:space="0"/>
            </w:tcBorders>
            <w:noWrap w:val="0"/>
            <w:vAlign w:val="center"/>
          </w:tcPr>
          <w:p>
            <w:pPr>
              <w:spacing w:line="300" w:lineRule="exact"/>
              <w:jc w:val="center"/>
              <w:rPr>
                <w:rFonts w:hint="eastAsia" w:ascii="宋体" w:hAnsi="宋体" w:eastAsia="宋体" w:cs="宋体"/>
                <w:szCs w:val="21"/>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喷射滞后时间</w:t>
            </w:r>
          </w:p>
        </w:tc>
        <w:tc>
          <w:tcPr>
            <w:tcW w:w="2184"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vMerge w:val="continue"/>
            <w:tcBorders>
              <w:left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szCs w:val="21"/>
              </w:rPr>
            </w:pPr>
          </w:p>
        </w:tc>
        <w:tc>
          <w:tcPr>
            <w:tcW w:w="1632" w:type="dxa"/>
            <w:vMerge w:val="continue"/>
            <w:tcBorders>
              <w:left w:val="nil"/>
              <w:right w:val="single" w:color="auto" w:sz="4" w:space="0"/>
            </w:tcBorders>
            <w:noWrap w:val="0"/>
            <w:vAlign w:val="center"/>
          </w:tcPr>
          <w:p>
            <w:pPr>
              <w:spacing w:line="300" w:lineRule="exact"/>
              <w:jc w:val="center"/>
              <w:rPr>
                <w:rFonts w:hint="eastAsia" w:ascii="宋体" w:hAnsi="宋体" w:eastAsia="宋体" w:cs="宋体"/>
                <w:szCs w:val="21"/>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喷射剩余率</w:t>
            </w:r>
          </w:p>
        </w:tc>
        <w:tc>
          <w:tcPr>
            <w:tcW w:w="2184"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vMerge w:val="continue"/>
            <w:tcBorders>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szCs w:val="21"/>
              </w:rPr>
            </w:pPr>
          </w:p>
        </w:tc>
        <w:tc>
          <w:tcPr>
            <w:tcW w:w="1632" w:type="dxa"/>
            <w:vMerge w:val="continue"/>
            <w:tcBorders>
              <w:left w:val="nil"/>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喷射距离</w:t>
            </w:r>
          </w:p>
        </w:tc>
        <w:tc>
          <w:tcPr>
            <w:tcW w:w="2184"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trPr>
        <w:tc>
          <w:tcPr>
            <w:tcW w:w="0" w:type="auto"/>
            <w:vMerge w:val="restart"/>
            <w:tcBorders>
              <w:top w:val="single" w:color="auto" w:sz="4" w:space="0"/>
              <w:left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szCs w:val="21"/>
              </w:rPr>
            </w:pPr>
            <w:r>
              <w:rPr>
                <w:rFonts w:hint="eastAsia" w:ascii="宋体" w:hAnsi="宋体" w:eastAsia="宋体" w:cs="宋体"/>
                <w:szCs w:val="21"/>
              </w:rPr>
              <w:t>2</w:t>
            </w:r>
          </w:p>
        </w:tc>
        <w:tc>
          <w:tcPr>
            <w:tcW w:w="1632" w:type="dxa"/>
            <w:vMerge w:val="restart"/>
            <w:tcBorders>
              <w:top w:val="single" w:color="auto" w:sz="4" w:space="0"/>
              <w:left w:val="nil"/>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充装要求</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充装量</w:t>
            </w:r>
          </w:p>
        </w:tc>
        <w:tc>
          <w:tcPr>
            <w:tcW w:w="2184"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vMerge w:val="continue"/>
            <w:tcBorders>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szCs w:val="21"/>
              </w:rPr>
            </w:pPr>
          </w:p>
        </w:tc>
        <w:tc>
          <w:tcPr>
            <w:tcW w:w="1632" w:type="dxa"/>
            <w:vMerge w:val="continue"/>
            <w:tcBorders>
              <w:left w:val="nil"/>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充装误差</w:t>
            </w:r>
          </w:p>
        </w:tc>
        <w:tc>
          <w:tcPr>
            <w:tcW w:w="2184"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vMerge w:val="restart"/>
            <w:tcBorders>
              <w:top w:val="single" w:color="auto" w:sz="4" w:space="0"/>
              <w:left w:val="single" w:color="auto" w:sz="4" w:space="0"/>
              <w:right w:val="single" w:color="auto" w:sz="4" w:space="0"/>
            </w:tcBorders>
            <w:noWrap w:val="0"/>
            <w:vAlign w:val="center"/>
          </w:tcPr>
          <w:p>
            <w:pPr>
              <w:snapToGrid w:val="0"/>
              <w:spacing w:line="300" w:lineRule="exact"/>
              <w:jc w:val="center"/>
              <w:rPr>
                <w:rFonts w:hint="eastAsia" w:ascii="宋体" w:hAnsi="宋体" w:eastAsia="宋体" w:cs="宋体"/>
                <w:szCs w:val="21"/>
              </w:rPr>
            </w:pPr>
            <w:r>
              <w:rPr>
                <w:rFonts w:hint="eastAsia" w:ascii="宋体" w:hAnsi="宋体" w:eastAsia="宋体" w:cs="宋体"/>
                <w:szCs w:val="21"/>
              </w:rPr>
              <w:t>3</w:t>
            </w:r>
          </w:p>
        </w:tc>
        <w:tc>
          <w:tcPr>
            <w:tcW w:w="1632" w:type="dxa"/>
            <w:vMerge w:val="restart"/>
            <w:tcBorders>
              <w:top w:val="single" w:color="auto" w:sz="4" w:space="0"/>
              <w:left w:val="nil"/>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瓶体</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水压试验</w:t>
            </w:r>
          </w:p>
        </w:tc>
        <w:tc>
          <w:tcPr>
            <w:tcW w:w="2184"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vMerge w:val="continue"/>
            <w:tcBorders>
              <w:left w:val="single" w:color="auto" w:sz="4" w:space="0"/>
              <w:bottom w:val="single" w:color="auto" w:sz="4" w:space="0"/>
              <w:right w:val="single" w:color="auto" w:sz="4" w:space="0"/>
            </w:tcBorders>
            <w:noWrap w:val="0"/>
            <w:vAlign w:val="center"/>
          </w:tcPr>
          <w:p>
            <w:pPr>
              <w:snapToGrid w:val="0"/>
              <w:spacing w:line="300" w:lineRule="exact"/>
              <w:jc w:val="center"/>
              <w:rPr>
                <w:szCs w:val="21"/>
              </w:rPr>
            </w:pPr>
          </w:p>
        </w:tc>
        <w:tc>
          <w:tcPr>
            <w:tcW w:w="1632" w:type="dxa"/>
            <w:vMerge w:val="continue"/>
            <w:tcBorders>
              <w:left w:val="nil"/>
              <w:bottom w:val="single" w:color="auto" w:sz="4" w:space="0"/>
              <w:right w:val="single" w:color="auto" w:sz="4" w:space="0"/>
            </w:tcBorders>
            <w:noWrap w:val="0"/>
            <w:vAlign w:val="center"/>
          </w:tcPr>
          <w:p>
            <w:pPr>
              <w:spacing w:line="300" w:lineRule="exact"/>
              <w:jc w:val="center"/>
              <w:rPr>
                <w:szCs w:val="21"/>
              </w:rPr>
            </w:pP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爆破性能试验</w:t>
            </w:r>
          </w:p>
        </w:tc>
        <w:tc>
          <w:tcPr>
            <w:tcW w:w="2184" w:type="dxa"/>
            <w:tcBorders>
              <w:left w:val="single" w:color="auto" w:sz="4" w:space="0"/>
              <w:right w:val="single" w:color="auto" w:sz="4" w:space="0"/>
            </w:tcBorders>
            <w:noWrap w:val="0"/>
            <w:vAlign w:val="center"/>
          </w:tcPr>
          <w:p>
            <w:pPr>
              <w:snapToGrid w:val="0"/>
              <w:jc w:val="center"/>
              <w:rPr>
                <w:rFonts w:hint="eastAsia" w:ascii="宋体" w:hAnsi="宋体" w:eastAsia="宋体" w:cs="宋体"/>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snapToGrid w:val="0"/>
              <w:jc w:val="center"/>
              <w:rPr>
                <w:rFonts w:hint="eastAsia" w:ascii="宋体" w:hAnsi="宋体" w:eastAsia="宋体" w:cs="宋体"/>
                <w:szCs w:val="21"/>
              </w:rPr>
            </w:pPr>
            <w:r>
              <w:rPr>
                <w:rFonts w:hint="eastAsia" w:ascii="宋体" w:hAnsi="宋体" w:eastAsia="宋体" w:cs="宋体"/>
                <w:color w:val="000000"/>
                <w:szCs w:val="21"/>
              </w:rPr>
              <w:t>GB 4351—2023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szCs w:val="21"/>
              </w:rPr>
            </w:pPr>
            <w:r>
              <w:rPr>
                <w:szCs w:val="21"/>
              </w:rPr>
              <w:t>4</w:t>
            </w:r>
          </w:p>
        </w:tc>
        <w:tc>
          <w:tcPr>
            <w:tcW w:w="1632" w:type="dxa"/>
            <w:tcBorders>
              <w:top w:val="single" w:color="auto" w:sz="4" w:space="0"/>
              <w:left w:val="nil"/>
              <w:bottom w:val="single" w:color="auto" w:sz="4" w:space="0"/>
              <w:right w:val="single" w:color="auto" w:sz="4" w:space="0"/>
            </w:tcBorders>
            <w:noWrap w:val="0"/>
            <w:vAlign w:val="center"/>
          </w:tcPr>
          <w:p>
            <w:pPr>
              <w:spacing w:line="300" w:lineRule="exact"/>
              <w:jc w:val="center"/>
              <w:rPr>
                <w:szCs w:val="21"/>
              </w:rPr>
            </w:pPr>
            <w:r>
              <w:rPr>
                <w:szCs w:val="21"/>
              </w:rPr>
              <w:t>灭火剂（干粉灭火剂）</w:t>
            </w:r>
          </w:p>
        </w:tc>
        <w:tc>
          <w:tcPr>
            <w:tcW w:w="258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eastAsia="宋体" w:cs="宋体"/>
                <w:szCs w:val="21"/>
              </w:rPr>
            </w:pPr>
            <w:r>
              <w:rPr>
                <w:rFonts w:hint="eastAsia" w:ascii="宋体" w:hAnsi="宋体" w:eastAsia="宋体" w:cs="宋体"/>
                <w:szCs w:val="21"/>
              </w:rPr>
              <w:t>第一主要组分含量</w:t>
            </w:r>
          </w:p>
        </w:tc>
        <w:tc>
          <w:tcPr>
            <w:tcW w:w="2184" w:type="dxa"/>
            <w:tcBorders>
              <w:left w:val="single" w:color="auto" w:sz="4" w:space="0"/>
              <w:right w:val="single" w:color="auto" w:sz="4" w:space="0"/>
            </w:tcBorders>
            <w:noWrap w:val="0"/>
            <w:vAlign w:val="center"/>
          </w:tcPr>
          <w:p>
            <w:pPr>
              <w:adjustRightInd w:val="0"/>
              <w:snapToGrid w:val="0"/>
              <w:spacing w:line="300" w:lineRule="exact"/>
              <w:jc w:val="center"/>
              <w:rPr>
                <w:rFonts w:hint="eastAsia" w:ascii="宋体" w:hAnsi="宋体" w:eastAsia="宋体" w:cs="宋体"/>
                <w:szCs w:val="21"/>
              </w:rPr>
            </w:pPr>
            <w:r>
              <w:rPr>
                <w:rFonts w:hint="eastAsia" w:ascii="宋体" w:hAnsi="宋体" w:eastAsia="宋体" w:cs="宋体"/>
                <w:color w:val="000000"/>
                <w:szCs w:val="21"/>
              </w:rPr>
              <w:t>GB 4351—2023</w:t>
            </w:r>
          </w:p>
        </w:tc>
        <w:tc>
          <w:tcPr>
            <w:tcW w:w="2148" w:type="dxa"/>
            <w:tcBorders>
              <w:left w:val="single" w:color="auto" w:sz="4" w:space="0"/>
              <w:right w:val="single" w:color="auto" w:sz="4" w:space="0"/>
            </w:tcBorders>
            <w:noWrap w:val="0"/>
            <w:vAlign w:val="center"/>
          </w:tcPr>
          <w:p>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GB 4066</w:t>
            </w:r>
            <w:r>
              <w:rPr>
                <w:rFonts w:hint="eastAsia" w:ascii="宋体" w:hAnsi="宋体" w:eastAsia="宋体" w:cs="宋体"/>
                <w:color w:val="000000"/>
                <w:szCs w:val="21"/>
              </w:rPr>
              <w:t>—2017</w:t>
            </w:r>
          </w:p>
        </w:tc>
      </w:tr>
    </w:tbl>
    <w:p>
      <w:pPr>
        <w:spacing w:before="100" w:beforeAutospacing="1" w:after="100" w:afterAutospacing="1"/>
        <w:contextualSpacing/>
        <w:jc w:val="center"/>
        <w:rPr>
          <w:rFonts w:hint="eastAsia" w:ascii="宋体" w:hAnsi="宋体" w:cs="宋体"/>
          <w:bCs/>
          <w:szCs w:val="21"/>
        </w:rPr>
      </w:pPr>
    </w:p>
    <w:p>
      <w:pPr>
        <w:spacing w:before="100" w:beforeAutospacing="1" w:after="100" w:afterAutospacing="1"/>
        <w:contextualSpacing/>
        <w:jc w:val="center"/>
        <w:rPr>
          <w:rFonts w:hint="eastAsia" w:ascii="宋体" w:hAnsi="宋体" w:cs="宋体"/>
          <w:bCs/>
          <w:szCs w:val="21"/>
        </w:rPr>
      </w:pPr>
    </w:p>
    <w:p>
      <w:pPr>
        <w:widowControl/>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adjustRightInd w:val="0"/>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adjustRightInd w:val="0"/>
        <w:snapToGrid w:val="0"/>
        <w:spacing w:line="440" w:lineRule="exact"/>
        <w:ind w:firstLine="420" w:firstLineChars="200"/>
        <w:rPr>
          <w:color w:val="000000"/>
          <w:szCs w:val="21"/>
        </w:rPr>
      </w:pPr>
    </w:p>
    <w:p>
      <w:pPr>
        <w:spacing w:line="440" w:lineRule="exact"/>
        <w:rPr>
          <w:rFonts w:eastAsia="黑体"/>
          <w:color w:val="000000"/>
          <w:szCs w:val="21"/>
        </w:rPr>
      </w:pPr>
      <w:r>
        <w:rPr>
          <w:rFonts w:eastAsia="黑体"/>
          <w:color w:val="000000"/>
          <w:szCs w:val="21"/>
        </w:rPr>
        <w:t>3 判定规则</w:t>
      </w:r>
    </w:p>
    <w:p>
      <w:pPr>
        <w:snapToGrid w:val="0"/>
        <w:spacing w:line="440" w:lineRule="exact"/>
        <w:rPr>
          <w:color w:val="000000"/>
          <w:szCs w:val="21"/>
        </w:rPr>
      </w:pPr>
      <w:r>
        <w:rPr>
          <w:color w:val="000000"/>
          <w:szCs w:val="21"/>
        </w:rPr>
        <w:t>3.1依据标准</w:t>
      </w:r>
    </w:p>
    <w:p>
      <w:pPr>
        <w:snapToGrid w:val="0"/>
        <w:spacing w:line="440" w:lineRule="exact"/>
        <w:ind w:firstLine="420" w:firstLineChars="200"/>
        <w:rPr>
          <w:rFonts w:hint="eastAsia" w:eastAsia="宋体"/>
          <w:color w:val="000000"/>
          <w:szCs w:val="21"/>
          <w:lang w:val="en-US" w:eastAsia="zh-CN"/>
        </w:rPr>
      </w:pPr>
      <w:r>
        <w:rPr>
          <w:rFonts w:hint="eastAsia"/>
          <w:color w:val="000000"/>
          <w:szCs w:val="21"/>
        </w:rPr>
        <w:t>GB 4351—2023</w:t>
      </w:r>
      <w:r>
        <w:rPr>
          <w:rFonts w:hint="eastAsia"/>
          <w:color w:val="000000"/>
          <w:szCs w:val="21"/>
          <w:lang w:val="en-US" w:eastAsia="zh-CN"/>
        </w:rPr>
        <w:t xml:space="preserve"> 手提式灭火器</w:t>
      </w:r>
    </w:p>
    <w:p>
      <w:pPr>
        <w:snapToGrid w:val="0"/>
        <w:spacing w:line="440" w:lineRule="exact"/>
        <w:ind w:firstLine="420" w:firstLineChars="200"/>
        <w:rPr>
          <w:rFonts w:hint="eastAsia"/>
          <w:color w:val="000000"/>
          <w:szCs w:val="21"/>
        </w:rPr>
      </w:pPr>
      <w:r>
        <w:rPr>
          <w:color w:val="000000"/>
          <w:szCs w:val="21"/>
        </w:rPr>
        <w:t>GB 4066</w:t>
      </w:r>
      <w:r>
        <w:rPr>
          <w:rFonts w:hint="eastAsia"/>
          <w:color w:val="000000"/>
          <w:szCs w:val="21"/>
          <w:lang w:val="en-US" w:eastAsia="zh-CN"/>
        </w:rPr>
        <w:t>-</w:t>
      </w:r>
      <w:r>
        <w:rPr>
          <w:color w:val="000000"/>
          <w:szCs w:val="21"/>
        </w:rPr>
        <w:t>2017 干粉灭火剂</w:t>
      </w:r>
    </w:p>
    <w:p>
      <w:pPr>
        <w:adjustRightInd w:val="0"/>
        <w:snapToGrid w:val="0"/>
        <w:spacing w:line="440" w:lineRule="exact"/>
        <w:ind w:firstLine="359" w:firstLineChars="171"/>
        <w:rPr>
          <w:color w:val="000000"/>
          <w:szCs w:val="21"/>
        </w:rPr>
      </w:pPr>
      <w:r>
        <w:rPr>
          <w:color w:val="000000"/>
          <w:szCs w:val="21"/>
        </w:rPr>
        <w:t>现行有效的企业标准、团体标准、地方标准及产品明示质量要求</w:t>
      </w:r>
    </w:p>
    <w:p>
      <w:pPr>
        <w:snapToGrid w:val="0"/>
        <w:spacing w:line="440" w:lineRule="exact"/>
        <w:rPr>
          <w:color w:val="000000"/>
          <w:szCs w:val="21"/>
        </w:rPr>
      </w:pPr>
      <w:r>
        <w:rPr>
          <w:color w:val="000000"/>
          <w:szCs w:val="21"/>
        </w:rPr>
        <w:t>3.2判定原则</w:t>
      </w:r>
    </w:p>
    <w:p>
      <w:pPr>
        <w:snapToGrid w:val="0"/>
        <w:spacing w:line="440" w:lineRule="exact"/>
        <w:ind w:firstLine="420" w:firstLineChars="200"/>
        <w:rPr>
          <w:color w:val="000000"/>
          <w:szCs w:val="21"/>
        </w:rPr>
      </w:pPr>
      <w:r>
        <w:rPr>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color w:val="000000"/>
          <w:szCs w:val="21"/>
        </w:rPr>
      </w:pPr>
      <w:r>
        <w:rPr>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color w:val="000000"/>
          <w:szCs w:val="21"/>
        </w:rPr>
      </w:pPr>
      <w:r>
        <w:rPr>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color w:val="000000"/>
          <w:szCs w:val="21"/>
        </w:rPr>
      </w:pPr>
      <w:r>
        <w:rPr>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color w:val="000000"/>
          <w:szCs w:val="21"/>
        </w:rPr>
      </w:pPr>
      <w:r>
        <w:rPr>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color w:val="000000"/>
          <w:szCs w:val="21"/>
        </w:rPr>
      </w:pPr>
      <w:r>
        <w:rPr>
          <w:color w:val="000000"/>
          <w:szCs w:val="21"/>
        </w:rPr>
        <w:t>若被检产品明示的质量要求缺少本细则中检验项目依据的推荐性标准要求时，该项目不参与判定。</w:t>
      </w:r>
    </w:p>
    <w:p>
      <w:pPr>
        <w:snapToGrid w:val="0"/>
        <w:spacing w:line="440" w:lineRule="exact"/>
        <w:rPr>
          <w:color w:val="FF0000"/>
          <w:szCs w:val="21"/>
        </w:rPr>
      </w:pPr>
    </w:p>
    <w:p>
      <w:pPr>
        <w:snapToGrid w:val="0"/>
        <w:spacing w:line="440" w:lineRule="exact"/>
        <w:rPr>
          <w:color w:val="FF0000"/>
          <w:szCs w:val="21"/>
        </w:rPr>
      </w:pP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jNjk2NmU4ODlkMGU2Yzk1N2FhZWM1ODAxNDRlMGEifQ=="/>
  </w:docVars>
  <w:rsids>
    <w:rsidRoot w:val="00172A27"/>
    <w:rsid w:val="00051A44"/>
    <w:rsid w:val="00081CBD"/>
    <w:rsid w:val="00081E1B"/>
    <w:rsid w:val="000976DE"/>
    <w:rsid w:val="000B5D07"/>
    <w:rsid w:val="000E10B4"/>
    <w:rsid w:val="0012336F"/>
    <w:rsid w:val="00123B35"/>
    <w:rsid w:val="001809DD"/>
    <w:rsid w:val="00183B2B"/>
    <w:rsid w:val="001A0195"/>
    <w:rsid w:val="001D2A41"/>
    <w:rsid w:val="00232530"/>
    <w:rsid w:val="00251374"/>
    <w:rsid w:val="00253624"/>
    <w:rsid w:val="002760E9"/>
    <w:rsid w:val="002D7F8A"/>
    <w:rsid w:val="002E0D1D"/>
    <w:rsid w:val="00302C3D"/>
    <w:rsid w:val="003047C7"/>
    <w:rsid w:val="0030781D"/>
    <w:rsid w:val="003203A3"/>
    <w:rsid w:val="003214C7"/>
    <w:rsid w:val="00365CBE"/>
    <w:rsid w:val="00374FC2"/>
    <w:rsid w:val="0039556D"/>
    <w:rsid w:val="003A7D30"/>
    <w:rsid w:val="003C388C"/>
    <w:rsid w:val="003E61BF"/>
    <w:rsid w:val="003F474C"/>
    <w:rsid w:val="00401912"/>
    <w:rsid w:val="004104AC"/>
    <w:rsid w:val="00424A39"/>
    <w:rsid w:val="00445E86"/>
    <w:rsid w:val="00474E04"/>
    <w:rsid w:val="004B5771"/>
    <w:rsid w:val="004D0C5A"/>
    <w:rsid w:val="004E1396"/>
    <w:rsid w:val="005514B8"/>
    <w:rsid w:val="00557F41"/>
    <w:rsid w:val="00563EBC"/>
    <w:rsid w:val="00653149"/>
    <w:rsid w:val="006C0BA0"/>
    <w:rsid w:val="006E1171"/>
    <w:rsid w:val="006F0971"/>
    <w:rsid w:val="0072334C"/>
    <w:rsid w:val="007269E7"/>
    <w:rsid w:val="00766191"/>
    <w:rsid w:val="00772888"/>
    <w:rsid w:val="0080449A"/>
    <w:rsid w:val="00895BEA"/>
    <w:rsid w:val="0089754A"/>
    <w:rsid w:val="008A3497"/>
    <w:rsid w:val="00917A54"/>
    <w:rsid w:val="00924F81"/>
    <w:rsid w:val="00926E6D"/>
    <w:rsid w:val="00942DB9"/>
    <w:rsid w:val="00A013A6"/>
    <w:rsid w:val="00A23442"/>
    <w:rsid w:val="00A43553"/>
    <w:rsid w:val="00A477AD"/>
    <w:rsid w:val="00A73521"/>
    <w:rsid w:val="00A81B50"/>
    <w:rsid w:val="00AC5391"/>
    <w:rsid w:val="00BA63C2"/>
    <w:rsid w:val="00BD3F6D"/>
    <w:rsid w:val="00BF2B8C"/>
    <w:rsid w:val="00C26074"/>
    <w:rsid w:val="00C80440"/>
    <w:rsid w:val="00C83B0A"/>
    <w:rsid w:val="00CB5632"/>
    <w:rsid w:val="00CE1E0C"/>
    <w:rsid w:val="00CE277E"/>
    <w:rsid w:val="00D56867"/>
    <w:rsid w:val="00D72D3A"/>
    <w:rsid w:val="00D72EF8"/>
    <w:rsid w:val="00DC438D"/>
    <w:rsid w:val="00E00D19"/>
    <w:rsid w:val="00E02A7F"/>
    <w:rsid w:val="00E031C5"/>
    <w:rsid w:val="00E07880"/>
    <w:rsid w:val="00E56FEB"/>
    <w:rsid w:val="00E82621"/>
    <w:rsid w:val="00E92CBA"/>
    <w:rsid w:val="00EC6814"/>
    <w:rsid w:val="00EF086A"/>
    <w:rsid w:val="00F77C9A"/>
    <w:rsid w:val="00FB576C"/>
    <w:rsid w:val="00FD2AA6"/>
    <w:rsid w:val="00FE7E8A"/>
    <w:rsid w:val="01817537"/>
    <w:rsid w:val="01AA0C90"/>
    <w:rsid w:val="050E6120"/>
    <w:rsid w:val="06FE6115"/>
    <w:rsid w:val="090512AF"/>
    <w:rsid w:val="10B86ACC"/>
    <w:rsid w:val="116540E9"/>
    <w:rsid w:val="11F37614"/>
    <w:rsid w:val="15B2689B"/>
    <w:rsid w:val="2377535D"/>
    <w:rsid w:val="26BA5B86"/>
    <w:rsid w:val="2971459A"/>
    <w:rsid w:val="2B097539"/>
    <w:rsid w:val="2D676CD2"/>
    <w:rsid w:val="2E683B3C"/>
    <w:rsid w:val="2EF63F6F"/>
    <w:rsid w:val="33B82CB1"/>
    <w:rsid w:val="36644296"/>
    <w:rsid w:val="3B6441AB"/>
    <w:rsid w:val="40E312F7"/>
    <w:rsid w:val="40F57128"/>
    <w:rsid w:val="413F7390"/>
    <w:rsid w:val="43F70D50"/>
    <w:rsid w:val="4CAA48AB"/>
    <w:rsid w:val="4FA97E5E"/>
    <w:rsid w:val="50FD2D07"/>
    <w:rsid w:val="52105FF2"/>
    <w:rsid w:val="53842A93"/>
    <w:rsid w:val="54EA6865"/>
    <w:rsid w:val="55D519DB"/>
    <w:rsid w:val="61BB37EC"/>
    <w:rsid w:val="64C53375"/>
    <w:rsid w:val="652C38FA"/>
    <w:rsid w:val="65937F86"/>
    <w:rsid w:val="66E86DE7"/>
    <w:rsid w:val="67DA2069"/>
    <w:rsid w:val="6D654B30"/>
    <w:rsid w:val="6ED02CCC"/>
    <w:rsid w:val="6FB473B5"/>
    <w:rsid w:val="71303ED2"/>
    <w:rsid w:val="715D4B51"/>
    <w:rsid w:val="71A862D1"/>
    <w:rsid w:val="73782B8B"/>
    <w:rsid w:val="74771207"/>
    <w:rsid w:val="781C5FBE"/>
    <w:rsid w:val="789A3A61"/>
    <w:rsid w:val="7A9F3299"/>
    <w:rsid w:val="7E9139DB"/>
    <w:rsid w:val="7FF7AAC5"/>
    <w:rsid w:val="A7DF7FDB"/>
    <w:rsid w:val="DFDFC3F7"/>
    <w:rsid w:val="FFF782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批注框文本 字符"/>
    <w:link w:val="2"/>
    <w:semiHidden/>
    <w:qFormat/>
    <w:uiPriority w:val="99"/>
    <w:rPr>
      <w:kern w:val="2"/>
      <w:sz w:val="18"/>
      <w:szCs w:val="18"/>
    </w:rPr>
  </w:style>
  <w:style w:type="character" w:customStyle="1" w:styleId="9">
    <w:name w:val="页脚 字符"/>
    <w:link w:val="3"/>
    <w:qFormat/>
    <w:uiPriority w:val="99"/>
    <w:rPr>
      <w:kern w:val="2"/>
      <w:sz w:val="18"/>
      <w:szCs w:val="18"/>
    </w:rPr>
  </w:style>
  <w:style w:type="character" w:customStyle="1" w:styleId="10">
    <w:name w:val="页眉 字符"/>
    <w:link w:val="4"/>
    <w:semiHidden/>
    <w:qFormat/>
    <w:uiPriority w:val="99"/>
    <w:rPr>
      <w:kern w:val="2"/>
      <w:sz w:val="18"/>
      <w:szCs w:val="18"/>
    </w:rPr>
  </w:style>
  <w:style w:type="paragraph" w:customStyle="1" w:styleId="11">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923</Words>
  <Characters>1225</Characters>
  <Lines>9</Lines>
  <Paragraphs>2</Paragraphs>
  <TotalTime>7</TotalTime>
  <ScaleCrop>false</ScaleCrop>
  <LinksUpToDate>false</LinksUpToDate>
  <CharactersWithSpaces>1277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2020-09-25T06:49:00Z</dcterms:created>
  <dc:creator>Legend User</dc:creator>
  <cp:lastModifiedBy>user</cp:lastModifiedBy>
  <cp:lastPrinted>2019-12-06T07:53:00Z</cp:lastPrinted>
  <dcterms:modified xsi:type="dcterms:W3CDTF">2026-05-08T14:50:19Z</dcterms:modified>
  <dc:title>××产品质量监督抽查实施细则</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122549F582460E2A4CBCE569DC6B319C_43</vt:lpwstr>
  </property>
  <property fmtid="{D5CDD505-2E9C-101B-9397-08002B2CF9AE}" pid="4" name="KSOTemplateDocerSaveRecord">
    <vt:lpwstr>eyJoZGlkIjoiYjQ1YmY3Mjc3OTA0Njk5YWQxMDA4YmFhYmEzOTA0N2IiLCJ1c2VySWQiOiIxMDY2ODA2MzE3In0=</vt:lpwstr>
  </property>
</Properties>
</file>