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6C500">
      <w:pPr>
        <w:spacing w:line="594" w:lineRule="exact"/>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本溪市</w:t>
      </w:r>
      <w:r>
        <w:rPr>
          <w:rFonts w:hint="eastAsia" w:ascii="宋体" w:hAnsi="宋体" w:eastAsia="宋体" w:cs="宋体"/>
          <w:b/>
          <w:bCs/>
          <w:sz w:val="32"/>
          <w:szCs w:val="32"/>
        </w:rPr>
        <w:t>天然气产品质量监督抽查实施细则</w:t>
      </w:r>
    </w:p>
    <w:p w14:paraId="33E06A3E">
      <w:pPr>
        <w:spacing w:line="594"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43588CD0">
      <w:pPr>
        <w:snapToGrid w:val="0"/>
        <w:spacing w:after="160" w:line="440" w:lineRule="exact"/>
        <w:rPr>
          <w:rFonts w:hint="eastAsia" w:ascii="黑体" w:hAnsi="黑体" w:eastAsia="黑体"/>
          <w:szCs w:val="21"/>
        </w:rPr>
      </w:pPr>
      <w:r>
        <w:rPr>
          <w:rFonts w:ascii="黑体" w:hAnsi="黑体" w:eastAsia="黑体"/>
          <w:szCs w:val="21"/>
        </w:rPr>
        <w:t>1 抽样方法</w:t>
      </w:r>
    </w:p>
    <w:p w14:paraId="371EDB8F">
      <w:pPr>
        <w:spacing w:line="440" w:lineRule="exact"/>
        <w:ind w:firstLine="420" w:firstLineChars="200"/>
        <w:rPr>
          <w:szCs w:val="21"/>
        </w:rPr>
      </w:pPr>
      <w:r>
        <w:rPr>
          <w:szCs w:val="21"/>
        </w:rPr>
        <w:t>以随机抽样的方式在被抽样生产者、销售者的待销产品中抽取。</w:t>
      </w:r>
    </w:p>
    <w:p w14:paraId="35D9C82E">
      <w:pPr>
        <w:spacing w:line="440" w:lineRule="exact"/>
        <w:ind w:firstLine="420" w:firstLineChars="200"/>
        <w:rPr>
          <w:szCs w:val="21"/>
        </w:rPr>
      </w:pPr>
      <w:r>
        <w:rPr>
          <w:szCs w:val="21"/>
        </w:rPr>
        <w:t>随机数一般可使用随机数表等方法产生。</w:t>
      </w:r>
    </w:p>
    <w:p w14:paraId="7EE14E45">
      <w:pPr>
        <w:spacing w:line="440" w:lineRule="exact"/>
        <w:ind w:firstLine="420" w:firstLineChars="200"/>
        <w:rPr>
          <w:szCs w:val="21"/>
        </w:rPr>
      </w:pPr>
      <w:r>
        <w:rPr>
          <w:rFonts w:hint="eastAsia"/>
          <w:szCs w:val="21"/>
        </w:rPr>
        <w:t>每批次产品抽取样品天然气不少于</w:t>
      </w:r>
      <w:r>
        <w:rPr>
          <w:rFonts w:hint="eastAsia"/>
          <w:szCs w:val="21"/>
          <w:lang w:val="en-US" w:eastAsia="zh-CN"/>
        </w:rPr>
        <w:t>4</w:t>
      </w:r>
      <w:r>
        <w:rPr>
          <w:rFonts w:hint="eastAsia"/>
          <w:szCs w:val="21"/>
        </w:rPr>
        <w:t>L（＞1.0MPa）、车用压缩天然气不少于</w:t>
      </w:r>
      <w:r>
        <w:rPr>
          <w:rFonts w:hint="eastAsia"/>
          <w:szCs w:val="21"/>
          <w:lang w:val="en-US" w:eastAsia="zh-CN"/>
        </w:rPr>
        <w:t>4</w:t>
      </w:r>
      <w:bookmarkStart w:id="0" w:name="_GoBack"/>
      <w:bookmarkEnd w:id="0"/>
      <w:r>
        <w:rPr>
          <w:rFonts w:hint="eastAsia"/>
          <w:szCs w:val="21"/>
        </w:rPr>
        <w:t>L（＞8.0MPa），其中1/2作为检验样品，1/2作为备用样品。</w:t>
      </w:r>
    </w:p>
    <w:p w14:paraId="2484AACC">
      <w:pPr>
        <w:spacing w:line="440" w:lineRule="exact"/>
        <w:ind w:firstLine="420" w:firstLineChars="200"/>
        <w:rPr>
          <w:szCs w:val="21"/>
        </w:rPr>
      </w:pPr>
    </w:p>
    <w:p w14:paraId="10992629">
      <w:pPr>
        <w:snapToGrid w:val="0"/>
        <w:spacing w:after="160" w:line="440" w:lineRule="exact"/>
        <w:rPr>
          <w:rFonts w:hint="eastAsia" w:ascii="黑体" w:hAnsi="黑体" w:eastAsia="黑体"/>
          <w:szCs w:val="21"/>
        </w:rPr>
      </w:pPr>
      <w:r>
        <w:rPr>
          <w:rFonts w:ascii="黑体" w:hAnsi="黑体" w:eastAsia="黑体"/>
          <w:szCs w:val="21"/>
        </w:rPr>
        <w:t>2 检验依据</w:t>
      </w:r>
    </w:p>
    <w:p w14:paraId="5E59A266">
      <w:pPr>
        <w:snapToGrid w:val="0"/>
        <w:spacing w:line="440" w:lineRule="exact"/>
        <w:jc w:val="center"/>
        <w:rPr>
          <w:rFonts w:hint="eastAsia" w:ascii="宋体" w:hAnsi="宋体" w:cs="宋体"/>
          <w:szCs w:val="21"/>
        </w:rPr>
      </w:pPr>
      <w:r>
        <w:rPr>
          <w:rFonts w:hint="eastAsia" w:ascii="宋体" w:hAnsi="宋体" w:cs="宋体"/>
          <w:szCs w:val="21"/>
        </w:rPr>
        <w:t>表1  天然气</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721"/>
        <w:gridCol w:w="2475"/>
        <w:gridCol w:w="2835"/>
      </w:tblGrid>
      <w:tr w14:paraId="42EE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0" w:type="dxa"/>
            <w:vAlign w:val="center"/>
          </w:tcPr>
          <w:p w14:paraId="2FB8030A">
            <w:pPr>
              <w:jc w:val="center"/>
              <w:rPr>
                <w:szCs w:val="21"/>
              </w:rPr>
            </w:pPr>
            <w:r>
              <w:rPr>
                <w:szCs w:val="21"/>
              </w:rPr>
              <w:t>序号</w:t>
            </w:r>
          </w:p>
        </w:tc>
        <w:tc>
          <w:tcPr>
            <w:tcW w:w="2721" w:type="dxa"/>
            <w:vAlign w:val="center"/>
          </w:tcPr>
          <w:p w14:paraId="41596442">
            <w:pPr>
              <w:jc w:val="center"/>
              <w:rPr>
                <w:szCs w:val="21"/>
              </w:rPr>
            </w:pPr>
            <w:r>
              <w:rPr>
                <w:szCs w:val="21"/>
              </w:rPr>
              <w:t>检验项目</w:t>
            </w:r>
          </w:p>
        </w:tc>
        <w:tc>
          <w:tcPr>
            <w:tcW w:w="2475" w:type="dxa"/>
            <w:vAlign w:val="center"/>
          </w:tcPr>
          <w:p w14:paraId="1D6818B6">
            <w:pPr>
              <w:jc w:val="center"/>
              <w:rPr>
                <w:szCs w:val="21"/>
              </w:rPr>
            </w:pPr>
            <w:r>
              <w:rPr>
                <w:rFonts w:hint="eastAsia"/>
                <w:szCs w:val="21"/>
              </w:rPr>
              <w:t>检验依据</w:t>
            </w:r>
          </w:p>
        </w:tc>
        <w:tc>
          <w:tcPr>
            <w:tcW w:w="2835" w:type="dxa"/>
            <w:vAlign w:val="center"/>
          </w:tcPr>
          <w:p w14:paraId="3D88C4B3">
            <w:pPr>
              <w:jc w:val="center"/>
              <w:rPr>
                <w:szCs w:val="21"/>
              </w:rPr>
            </w:pPr>
            <w:r>
              <w:rPr>
                <w:szCs w:val="21"/>
              </w:rPr>
              <w:t>检验方法</w:t>
            </w:r>
          </w:p>
        </w:tc>
      </w:tr>
      <w:tr w14:paraId="3C1B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0" w:type="dxa"/>
            <w:vAlign w:val="center"/>
          </w:tcPr>
          <w:p w14:paraId="61D0AF56">
            <w:pPr>
              <w:jc w:val="center"/>
              <w:rPr>
                <w:szCs w:val="21"/>
              </w:rPr>
            </w:pPr>
            <w:r>
              <w:rPr>
                <w:szCs w:val="21"/>
              </w:rPr>
              <w:t>1</w:t>
            </w:r>
          </w:p>
        </w:tc>
        <w:tc>
          <w:tcPr>
            <w:tcW w:w="2721" w:type="dxa"/>
            <w:vAlign w:val="center"/>
          </w:tcPr>
          <w:p w14:paraId="1DE35747">
            <w:pPr>
              <w:jc w:val="center"/>
              <w:rPr>
                <w:szCs w:val="21"/>
              </w:rPr>
            </w:pPr>
            <w:r>
              <w:rPr>
                <w:rFonts w:hint="eastAsia"/>
                <w:szCs w:val="21"/>
              </w:rPr>
              <w:t>高位发热量</w:t>
            </w:r>
          </w:p>
        </w:tc>
        <w:tc>
          <w:tcPr>
            <w:tcW w:w="2475" w:type="dxa"/>
            <w:vAlign w:val="center"/>
          </w:tcPr>
          <w:p w14:paraId="3597FAE3">
            <w:pPr>
              <w:jc w:val="center"/>
              <w:rPr>
                <w:szCs w:val="21"/>
              </w:rPr>
            </w:pPr>
            <w:r>
              <w:rPr>
                <w:szCs w:val="21"/>
              </w:rPr>
              <w:t>GB 17820-2018</w:t>
            </w:r>
          </w:p>
        </w:tc>
        <w:tc>
          <w:tcPr>
            <w:tcW w:w="2835" w:type="dxa"/>
            <w:vAlign w:val="center"/>
          </w:tcPr>
          <w:p w14:paraId="0ED78CB1">
            <w:pPr>
              <w:jc w:val="center"/>
              <w:rPr>
                <w:szCs w:val="21"/>
              </w:rPr>
            </w:pPr>
            <w:r>
              <w:rPr>
                <w:szCs w:val="21"/>
              </w:rPr>
              <w:t>GB/T 11062-2020</w:t>
            </w:r>
          </w:p>
          <w:p w14:paraId="72D42A23">
            <w:pPr>
              <w:jc w:val="center"/>
              <w:rPr>
                <w:szCs w:val="21"/>
              </w:rPr>
            </w:pPr>
            <w:r>
              <w:rPr>
                <w:rFonts w:hint="eastAsia"/>
                <w:szCs w:val="21"/>
                <w:lang w:val="en-US" w:eastAsia="zh-CN"/>
              </w:rPr>
              <w:t>GB/T 13610-2020</w:t>
            </w:r>
          </w:p>
        </w:tc>
      </w:tr>
      <w:tr w14:paraId="6741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0" w:type="dxa"/>
            <w:vAlign w:val="center"/>
          </w:tcPr>
          <w:p w14:paraId="7D91E643">
            <w:pPr>
              <w:jc w:val="center"/>
              <w:rPr>
                <w:szCs w:val="21"/>
              </w:rPr>
            </w:pPr>
            <w:r>
              <w:rPr>
                <w:szCs w:val="21"/>
              </w:rPr>
              <w:t>2</w:t>
            </w:r>
          </w:p>
        </w:tc>
        <w:tc>
          <w:tcPr>
            <w:tcW w:w="2721" w:type="dxa"/>
            <w:vAlign w:val="center"/>
          </w:tcPr>
          <w:p w14:paraId="613B9B76">
            <w:pPr>
              <w:jc w:val="center"/>
              <w:rPr>
                <w:szCs w:val="21"/>
              </w:rPr>
            </w:pPr>
            <w:r>
              <w:rPr>
                <w:rFonts w:hint="eastAsia"/>
                <w:szCs w:val="21"/>
              </w:rPr>
              <w:t>总硫（以硫计）</w:t>
            </w:r>
          </w:p>
        </w:tc>
        <w:tc>
          <w:tcPr>
            <w:tcW w:w="2475" w:type="dxa"/>
            <w:vAlign w:val="center"/>
          </w:tcPr>
          <w:p w14:paraId="46C7F946">
            <w:pPr>
              <w:jc w:val="center"/>
              <w:rPr>
                <w:szCs w:val="21"/>
              </w:rPr>
            </w:pPr>
            <w:r>
              <w:rPr>
                <w:szCs w:val="21"/>
              </w:rPr>
              <w:t>GB 17820-2018</w:t>
            </w:r>
          </w:p>
        </w:tc>
        <w:tc>
          <w:tcPr>
            <w:tcW w:w="2835" w:type="dxa"/>
            <w:vAlign w:val="center"/>
          </w:tcPr>
          <w:p w14:paraId="6CBCA674">
            <w:pPr>
              <w:jc w:val="center"/>
              <w:rPr>
                <w:rFonts w:hint="eastAsia"/>
                <w:szCs w:val="21"/>
              </w:rPr>
            </w:pPr>
            <w:r>
              <w:rPr>
                <w:rFonts w:hint="eastAsia"/>
                <w:szCs w:val="21"/>
              </w:rPr>
              <w:t>GB/T 11060.4-2017</w:t>
            </w:r>
          </w:p>
          <w:p w14:paraId="4E6FDF55">
            <w:pPr>
              <w:jc w:val="center"/>
              <w:rPr>
                <w:rFonts w:hint="eastAsia"/>
                <w:szCs w:val="21"/>
              </w:rPr>
            </w:pPr>
            <w:r>
              <w:rPr>
                <w:rFonts w:hint="eastAsia"/>
                <w:szCs w:val="21"/>
              </w:rPr>
              <w:t>GB/T 11060.5-2010</w:t>
            </w:r>
          </w:p>
          <w:p w14:paraId="00B2D27E">
            <w:pPr>
              <w:jc w:val="center"/>
              <w:rPr>
                <w:szCs w:val="21"/>
              </w:rPr>
            </w:pPr>
            <w:r>
              <w:rPr>
                <w:rFonts w:hint="eastAsia"/>
                <w:szCs w:val="21"/>
              </w:rPr>
              <w:t>GB/T 11060.8-2020</w:t>
            </w:r>
          </w:p>
        </w:tc>
      </w:tr>
      <w:tr w14:paraId="7F70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0" w:type="dxa"/>
            <w:vAlign w:val="center"/>
          </w:tcPr>
          <w:p w14:paraId="645534F9">
            <w:pPr>
              <w:jc w:val="center"/>
              <w:rPr>
                <w:szCs w:val="21"/>
              </w:rPr>
            </w:pPr>
            <w:r>
              <w:rPr>
                <w:szCs w:val="21"/>
              </w:rPr>
              <w:t>3</w:t>
            </w:r>
          </w:p>
        </w:tc>
        <w:tc>
          <w:tcPr>
            <w:tcW w:w="2721" w:type="dxa"/>
            <w:vAlign w:val="center"/>
          </w:tcPr>
          <w:p w14:paraId="33DE2D3E">
            <w:pPr>
              <w:jc w:val="center"/>
              <w:rPr>
                <w:szCs w:val="21"/>
              </w:rPr>
            </w:pPr>
            <w:r>
              <w:rPr>
                <w:rFonts w:hint="eastAsia"/>
                <w:szCs w:val="21"/>
              </w:rPr>
              <w:t>二氧化碳摩尔分数</w:t>
            </w:r>
          </w:p>
        </w:tc>
        <w:tc>
          <w:tcPr>
            <w:tcW w:w="2475" w:type="dxa"/>
            <w:vAlign w:val="center"/>
          </w:tcPr>
          <w:p w14:paraId="6D7A75DE">
            <w:pPr>
              <w:jc w:val="center"/>
              <w:rPr>
                <w:szCs w:val="21"/>
              </w:rPr>
            </w:pPr>
            <w:r>
              <w:rPr>
                <w:szCs w:val="21"/>
              </w:rPr>
              <w:t>GB 17820-2018</w:t>
            </w:r>
          </w:p>
        </w:tc>
        <w:tc>
          <w:tcPr>
            <w:tcW w:w="2835" w:type="dxa"/>
            <w:vAlign w:val="center"/>
          </w:tcPr>
          <w:p w14:paraId="0E08B765">
            <w:pPr>
              <w:jc w:val="center"/>
              <w:rPr>
                <w:szCs w:val="21"/>
              </w:rPr>
            </w:pPr>
            <w:r>
              <w:rPr>
                <w:szCs w:val="21"/>
              </w:rPr>
              <w:t>GB/T 13610-2020</w:t>
            </w:r>
          </w:p>
        </w:tc>
      </w:tr>
    </w:tbl>
    <w:p w14:paraId="115FC1E2">
      <w:pPr>
        <w:snapToGrid w:val="0"/>
        <w:spacing w:line="440" w:lineRule="exact"/>
        <w:jc w:val="center"/>
        <w:rPr>
          <w:rFonts w:eastAsia="黑体"/>
          <w:szCs w:val="21"/>
        </w:rPr>
      </w:pPr>
      <w:r>
        <w:rPr>
          <w:rFonts w:hint="eastAsia" w:ascii="宋体" w:hAnsi="宋体" w:cs="宋体"/>
          <w:szCs w:val="21"/>
        </w:rPr>
        <w:t>表2  车用压缩天然气</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721"/>
        <w:gridCol w:w="2475"/>
        <w:gridCol w:w="2835"/>
      </w:tblGrid>
      <w:tr w14:paraId="7950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19DC5A8">
            <w:pPr>
              <w:jc w:val="center"/>
              <w:rPr>
                <w:szCs w:val="21"/>
              </w:rPr>
            </w:pPr>
            <w:r>
              <w:rPr>
                <w:szCs w:val="21"/>
              </w:rPr>
              <w:t>序号</w:t>
            </w:r>
          </w:p>
        </w:tc>
        <w:tc>
          <w:tcPr>
            <w:tcW w:w="2721" w:type="dxa"/>
            <w:vAlign w:val="center"/>
          </w:tcPr>
          <w:p w14:paraId="3CB48D9B">
            <w:pPr>
              <w:jc w:val="center"/>
              <w:rPr>
                <w:szCs w:val="21"/>
              </w:rPr>
            </w:pPr>
            <w:r>
              <w:rPr>
                <w:szCs w:val="21"/>
              </w:rPr>
              <w:t>检验项目</w:t>
            </w:r>
          </w:p>
        </w:tc>
        <w:tc>
          <w:tcPr>
            <w:tcW w:w="2475" w:type="dxa"/>
            <w:vAlign w:val="center"/>
          </w:tcPr>
          <w:p w14:paraId="75A94966">
            <w:pPr>
              <w:jc w:val="center"/>
              <w:rPr>
                <w:szCs w:val="21"/>
              </w:rPr>
            </w:pPr>
            <w:r>
              <w:rPr>
                <w:rFonts w:hint="eastAsia"/>
                <w:szCs w:val="21"/>
              </w:rPr>
              <w:t>检验依据</w:t>
            </w:r>
          </w:p>
        </w:tc>
        <w:tc>
          <w:tcPr>
            <w:tcW w:w="2835" w:type="dxa"/>
            <w:vAlign w:val="center"/>
          </w:tcPr>
          <w:p w14:paraId="7A71C2F1">
            <w:pPr>
              <w:jc w:val="center"/>
              <w:rPr>
                <w:szCs w:val="21"/>
              </w:rPr>
            </w:pPr>
            <w:r>
              <w:rPr>
                <w:szCs w:val="21"/>
              </w:rPr>
              <w:t>检验方法</w:t>
            </w:r>
          </w:p>
        </w:tc>
      </w:tr>
      <w:tr w14:paraId="497F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02BC348">
            <w:pPr>
              <w:jc w:val="center"/>
              <w:rPr>
                <w:szCs w:val="21"/>
              </w:rPr>
            </w:pPr>
            <w:r>
              <w:rPr>
                <w:szCs w:val="21"/>
              </w:rPr>
              <w:t>1</w:t>
            </w:r>
          </w:p>
        </w:tc>
        <w:tc>
          <w:tcPr>
            <w:tcW w:w="2721" w:type="dxa"/>
            <w:vAlign w:val="center"/>
          </w:tcPr>
          <w:p w14:paraId="49EF6437">
            <w:pPr>
              <w:jc w:val="center"/>
              <w:rPr>
                <w:szCs w:val="21"/>
              </w:rPr>
            </w:pPr>
            <w:r>
              <w:rPr>
                <w:rFonts w:hint="eastAsia"/>
                <w:szCs w:val="21"/>
              </w:rPr>
              <w:t>高位发热量</w:t>
            </w:r>
          </w:p>
        </w:tc>
        <w:tc>
          <w:tcPr>
            <w:tcW w:w="2475" w:type="dxa"/>
            <w:vAlign w:val="center"/>
          </w:tcPr>
          <w:p w14:paraId="7FE4819F">
            <w:pPr>
              <w:jc w:val="center"/>
              <w:rPr>
                <w:szCs w:val="21"/>
              </w:rPr>
            </w:pPr>
            <w:r>
              <w:rPr>
                <w:szCs w:val="21"/>
              </w:rPr>
              <w:t>GB 18047-2017</w:t>
            </w:r>
          </w:p>
        </w:tc>
        <w:tc>
          <w:tcPr>
            <w:tcW w:w="2835" w:type="dxa"/>
            <w:vAlign w:val="center"/>
          </w:tcPr>
          <w:p w14:paraId="7C4DA353">
            <w:pPr>
              <w:jc w:val="center"/>
              <w:rPr>
                <w:szCs w:val="21"/>
              </w:rPr>
            </w:pPr>
            <w:r>
              <w:rPr>
                <w:szCs w:val="21"/>
              </w:rPr>
              <w:t>GB/T 11062-2020</w:t>
            </w:r>
          </w:p>
          <w:p w14:paraId="1FFAC7E3">
            <w:pPr>
              <w:jc w:val="center"/>
              <w:rPr>
                <w:szCs w:val="21"/>
              </w:rPr>
            </w:pPr>
            <w:r>
              <w:rPr>
                <w:rFonts w:hint="eastAsia"/>
                <w:szCs w:val="21"/>
                <w:lang w:val="en-US" w:eastAsia="zh-CN"/>
              </w:rPr>
              <w:t>GB/T 13610-2020</w:t>
            </w:r>
          </w:p>
        </w:tc>
      </w:tr>
      <w:tr w14:paraId="01CE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FB771A7">
            <w:pPr>
              <w:jc w:val="center"/>
              <w:rPr>
                <w:szCs w:val="21"/>
              </w:rPr>
            </w:pPr>
            <w:r>
              <w:rPr>
                <w:rFonts w:hint="eastAsia"/>
                <w:szCs w:val="21"/>
              </w:rPr>
              <w:t>2</w:t>
            </w:r>
          </w:p>
        </w:tc>
        <w:tc>
          <w:tcPr>
            <w:tcW w:w="2721" w:type="dxa"/>
            <w:vAlign w:val="center"/>
          </w:tcPr>
          <w:p w14:paraId="7B8FED47">
            <w:pPr>
              <w:jc w:val="center"/>
              <w:rPr>
                <w:szCs w:val="21"/>
              </w:rPr>
            </w:pPr>
            <w:r>
              <w:rPr>
                <w:rFonts w:hint="eastAsia"/>
                <w:szCs w:val="21"/>
              </w:rPr>
              <w:t>总硫（以硫计）</w:t>
            </w:r>
          </w:p>
        </w:tc>
        <w:tc>
          <w:tcPr>
            <w:tcW w:w="2475" w:type="dxa"/>
            <w:vAlign w:val="center"/>
          </w:tcPr>
          <w:p w14:paraId="5B8EC649">
            <w:pPr>
              <w:jc w:val="center"/>
              <w:rPr>
                <w:szCs w:val="21"/>
              </w:rPr>
            </w:pPr>
            <w:r>
              <w:rPr>
                <w:szCs w:val="21"/>
              </w:rPr>
              <w:t>GB 18047-2017</w:t>
            </w:r>
          </w:p>
        </w:tc>
        <w:tc>
          <w:tcPr>
            <w:tcW w:w="2835" w:type="dxa"/>
            <w:vAlign w:val="center"/>
          </w:tcPr>
          <w:p w14:paraId="27C80EE8">
            <w:pPr>
              <w:jc w:val="center"/>
              <w:rPr>
                <w:rFonts w:hint="eastAsia"/>
                <w:szCs w:val="21"/>
              </w:rPr>
            </w:pPr>
            <w:r>
              <w:rPr>
                <w:rFonts w:hint="eastAsia"/>
                <w:szCs w:val="21"/>
              </w:rPr>
              <w:t>GB/T 11060.4-2017</w:t>
            </w:r>
          </w:p>
          <w:p w14:paraId="75D08004">
            <w:pPr>
              <w:jc w:val="center"/>
              <w:rPr>
                <w:rFonts w:hint="eastAsia"/>
                <w:szCs w:val="21"/>
              </w:rPr>
            </w:pPr>
            <w:r>
              <w:rPr>
                <w:rFonts w:hint="eastAsia"/>
                <w:szCs w:val="21"/>
              </w:rPr>
              <w:t>GB/T 11060.5-2010</w:t>
            </w:r>
          </w:p>
          <w:p w14:paraId="5216612F">
            <w:pPr>
              <w:jc w:val="center"/>
              <w:rPr>
                <w:szCs w:val="21"/>
              </w:rPr>
            </w:pPr>
            <w:r>
              <w:rPr>
                <w:rFonts w:hint="eastAsia"/>
                <w:szCs w:val="21"/>
              </w:rPr>
              <w:t>GB/T 11060.8-2020</w:t>
            </w:r>
          </w:p>
        </w:tc>
      </w:tr>
      <w:tr w14:paraId="5495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508679D">
            <w:pPr>
              <w:jc w:val="center"/>
              <w:rPr>
                <w:szCs w:val="21"/>
              </w:rPr>
            </w:pPr>
            <w:r>
              <w:rPr>
                <w:rFonts w:hint="eastAsia"/>
                <w:szCs w:val="21"/>
              </w:rPr>
              <w:t>3</w:t>
            </w:r>
          </w:p>
        </w:tc>
        <w:tc>
          <w:tcPr>
            <w:tcW w:w="2721" w:type="dxa"/>
            <w:vAlign w:val="center"/>
          </w:tcPr>
          <w:p w14:paraId="0E7BD5D8">
            <w:pPr>
              <w:jc w:val="center"/>
              <w:rPr>
                <w:szCs w:val="21"/>
              </w:rPr>
            </w:pPr>
            <w:r>
              <w:rPr>
                <w:rFonts w:hint="eastAsia"/>
                <w:szCs w:val="21"/>
              </w:rPr>
              <w:t>二氧化碳摩尔分数</w:t>
            </w:r>
          </w:p>
        </w:tc>
        <w:tc>
          <w:tcPr>
            <w:tcW w:w="2475" w:type="dxa"/>
            <w:vAlign w:val="center"/>
          </w:tcPr>
          <w:p w14:paraId="3FC787DA">
            <w:pPr>
              <w:jc w:val="center"/>
              <w:rPr>
                <w:szCs w:val="21"/>
              </w:rPr>
            </w:pPr>
            <w:r>
              <w:rPr>
                <w:szCs w:val="21"/>
              </w:rPr>
              <w:t>GB 18047-2017</w:t>
            </w:r>
          </w:p>
        </w:tc>
        <w:tc>
          <w:tcPr>
            <w:tcW w:w="2835" w:type="dxa"/>
            <w:vAlign w:val="center"/>
          </w:tcPr>
          <w:p w14:paraId="06931050">
            <w:pPr>
              <w:jc w:val="center"/>
              <w:rPr>
                <w:rFonts w:hint="eastAsia"/>
                <w:szCs w:val="21"/>
              </w:rPr>
            </w:pPr>
            <w:r>
              <w:rPr>
                <w:rFonts w:hint="eastAsia"/>
                <w:szCs w:val="21"/>
              </w:rPr>
              <w:t>GB/T 13610-2020</w:t>
            </w:r>
          </w:p>
          <w:p w14:paraId="7A4703F0">
            <w:pPr>
              <w:jc w:val="center"/>
              <w:rPr>
                <w:rFonts w:hint="default" w:eastAsia="宋体"/>
                <w:szCs w:val="21"/>
                <w:lang w:val="en-US" w:eastAsia="zh-CN"/>
              </w:rPr>
            </w:pPr>
            <w:r>
              <w:rPr>
                <w:rFonts w:hint="eastAsia"/>
                <w:szCs w:val="21"/>
              </w:rPr>
              <w:t>GB/T 27894.3-20</w:t>
            </w:r>
            <w:r>
              <w:rPr>
                <w:rFonts w:hint="eastAsia"/>
                <w:szCs w:val="21"/>
                <w:lang w:val="en-US" w:eastAsia="zh-CN"/>
              </w:rPr>
              <w:t>23</w:t>
            </w:r>
          </w:p>
          <w:p w14:paraId="4CC1810F">
            <w:pPr>
              <w:jc w:val="center"/>
              <w:rPr>
                <w:rFonts w:hint="eastAsia"/>
                <w:szCs w:val="21"/>
              </w:rPr>
            </w:pPr>
            <w:r>
              <w:rPr>
                <w:rFonts w:hint="eastAsia"/>
                <w:szCs w:val="21"/>
              </w:rPr>
              <w:t>GB/T 27894.4-2012</w:t>
            </w:r>
          </w:p>
          <w:p w14:paraId="0C03B4BE">
            <w:pPr>
              <w:jc w:val="center"/>
              <w:rPr>
                <w:rFonts w:hint="eastAsia"/>
                <w:szCs w:val="21"/>
              </w:rPr>
            </w:pPr>
            <w:r>
              <w:rPr>
                <w:rFonts w:hint="eastAsia"/>
                <w:szCs w:val="21"/>
              </w:rPr>
              <w:t>GB/T 27894.5-2012</w:t>
            </w:r>
          </w:p>
          <w:p w14:paraId="64B37B81">
            <w:pPr>
              <w:jc w:val="center"/>
              <w:rPr>
                <w:szCs w:val="21"/>
              </w:rPr>
            </w:pPr>
            <w:r>
              <w:rPr>
                <w:rFonts w:hint="eastAsia"/>
                <w:szCs w:val="21"/>
              </w:rPr>
              <w:t>GB/T 27894.6-2012</w:t>
            </w:r>
          </w:p>
        </w:tc>
      </w:tr>
      <w:tr w14:paraId="2ADA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480F2E7">
            <w:pPr>
              <w:jc w:val="center"/>
              <w:rPr>
                <w:szCs w:val="21"/>
              </w:rPr>
            </w:pPr>
            <w:r>
              <w:rPr>
                <w:rFonts w:hint="eastAsia"/>
                <w:szCs w:val="21"/>
              </w:rPr>
              <w:t>4</w:t>
            </w:r>
          </w:p>
        </w:tc>
        <w:tc>
          <w:tcPr>
            <w:tcW w:w="2721" w:type="dxa"/>
            <w:vAlign w:val="center"/>
          </w:tcPr>
          <w:p w14:paraId="31F33C38">
            <w:pPr>
              <w:jc w:val="center"/>
              <w:rPr>
                <w:szCs w:val="21"/>
              </w:rPr>
            </w:pPr>
            <w:r>
              <w:rPr>
                <w:rFonts w:hint="eastAsia"/>
                <w:szCs w:val="21"/>
              </w:rPr>
              <w:t>氧气摩尔分数</w:t>
            </w:r>
          </w:p>
        </w:tc>
        <w:tc>
          <w:tcPr>
            <w:tcW w:w="2475" w:type="dxa"/>
            <w:vAlign w:val="center"/>
          </w:tcPr>
          <w:p w14:paraId="5B5A01F0">
            <w:pPr>
              <w:jc w:val="center"/>
              <w:rPr>
                <w:szCs w:val="21"/>
              </w:rPr>
            </w:pPr>
            <w:r>
              <w:rPr>
                <w:szCs w:val="21"/>
              </w:rPr>
              <w:t>GB 18047-2017</w:t>
            </w:r>
          </w:p>
        </w:tc>
        <w:tc>
          <w:tcPr>
            <w:tcW w:w="2835" w:type="dxa"/>
            <w:vAlign w:val="center"/>
          </w:tcPr>
          <w:p w14:paraId="55549338">
            <w:pPr>
              <w:jc w:val="center"/>
              <w:rPr>
                <w:rFonts w:hint="eastAsia"/>
                <w:szCs w:val="21"/>
              </w:rPr>
            </w:pPr>
            <w:r>
              <w:rPr>
                <w:rFonts w:hint="eastAsia"/>
                <w:szCs w:val="21"/>
              </w:rPr>
              <w:t>GB/T 13610-2020</w:t>
            </w:r>
          </w:p>
          <w:p w14:paraId="24C4FEB2">
            <w:pPr>
              <w:jc w:val="center"/>
              <w:rPr>
                <w:rFonts w:hint="default" w:eastAsia="宋体"/>
                <w:szCs w:val="21"/>
                <w:lang w:val="en-US" w:eastAsia="zh-CN"/>
              </w:rPr>
            </w:pPr>
            <w:r>
              <w:rPr>
                <w:rFonts w:hint="eastAsia"/>
                <w:szCs w:val="21"/>
              </w:rPr>
              <w:t>GB/T 27894.3-20</w:t>
            </w:r>
            <w:r>
              <w:rPr>
                <w:rFonts w:hint="eastAsia"/>
                <w:szCs w:val="21"/>
                <w:lang w:val="en-US" w:eastAsia="zh-CN"/>
              </w:rPr>
              <w:t>23</w:t>
            </w:r>
          </w:p>
          <w:p w14:paraId="151AA6FF">
            <w:pPr>
              <w:jc w:val="center"/>
              <w:rPr>
                <w:rFonts w:hint="eastAsia"/>
                <w:szCs w:val="21"/>
              </w:rPr>
            </w:pPr>
            <w:r>
              <w:rPr>
                <w:rFonts w:hint="eastAsia"/>
                <w:szCs w:val="21"/>
              </w:rPr>
              <w:t>GB/T 27894.4-2012</w:t>
            </w:r>
          </w:p>
          <w:p w14:paraId="77CD9E9C">
            <w:pPr>
              <w:jc w:val="center"/>
              <w:rPr>
                <w:rFonts w:hint="eastAsia"/>
                <w:szCs w:val="21"/>
              </w:rPr>
            </w:pPr>
            <w:r>
              <w:rPr>
                <w:rFonts w:hint="eastAsia"/>
                <w:szCs w:val="21"/>
              </w:rPr>
              <w:t>GB/T 27894.5-2012</w:t>
            </w:r>
          </w:p>
          <w:p w14:paraId="6F80CC51">
            <w:pPr>
              <w:jc w:val="center"/>
              <w:rPr>
                <w:szCs w:val="21"/>
              </w:rPr>
            </w:pPr>
            <w:r>
              <w:rPr>
                <w:rFonts w:hint="eastAsia"/>
                <w:szCs w:val="21"/>
              </w:rPr>
              <w:t>GB/T 27894.6-2012</w:t>
            </w:r>
          </w:p>
        </w:tc>
      </w:tr>
    </w:tbl>
    <w:p w14:paraId="24D6B037">
      <w:pPr>
        <w:spacing w:line="440" w:lineRule="exact"/>
        <w:ind w:firstLine="420" w:firstLineChars="200"/>
        <w:rPr>
          <w:szCs w:val="21"/>
        </w:rPr>
      </w:pPr>
      <w:r>
        <w:rPr>
          <w:rFonts w:hint="eastAsia"/>
          <w:szCs w:val="21"/>
        </w:rPr>
        <w:t>执行企业标准、团体标准、地方标准的产品，检验项目参照上述内容执行。</w:t>
      </w:r>
    </w:p>
    <w:p w14:paraId="5B32FD7A">
      <w:pPr>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4E3326CF">
      <w:pPr>
        <w:spacing w:line="440" w:lineRule="exact"/>
        <w:ind w:firstLine="420" w:firstLineChars="200"/>
        <w:rPr>
          <w:szCs w:val="21"/>
        </w:rPr>
      </w:pPr>
    </w:p>
    <w:p w14:paraId="1B64A5D9">
      <w:pPr>
        <w:snapToGrid w:val="0"/>
        <w:spacing w:after="160" w:line="440" w:lineRule="exact"/>
        <w:rPr>
          <w:rFonts w:hint="eastAsia" w:ascii="黑体" w:hAnsi="黑体" w:eastAsia="黑体"/>
          <w:szCs w:val="21"/>
        </w:rPr>
      </w:pPr>
      <w:r>
        <w:rPr>
          <w:rFonts w:ascii="黑体" w:hAnsi="黑体" w:eastAsia="黑体"/>
          <w:szCs w:val="21"/>
        </w:rPr>
        <w:t>3 判定规则</w:t>
      </w:r>
    </w:p>
    <w:p w14:paraId="7F3B36B7">
      <w:pPr>
        <w:spacing w:line="440" w:lineRule="exact"/>
        <w:rPr>
          <w:szCs w:val="21"/>
        </w:rPr>
      </w:pPr>
      <w:r>
        <w:rPr>
          <w:szCs w:val="21"/>
        </w:rPr>
        <w:t>3.1依据标准</w:t>
      </w:r>
    </w:p>
    <w:p w14:paraId="1DAF1639">
      <w:pPr>
        <w:spacing w:line="440" w:lineRule="exact"/>
        <w:ind w:firstLine="420" w:firstLineChars="200"/>
        <w:rPr>
          <w:szCs w:val="21"/>
        </w:rPr>
      </w:pPr>
      <w:r>
        <w:rPr>
          <w:szCs w:val="21"/>
        </w:rPr>
        <w:t xml:space="preserve">GB 17820-2018 </w:t>
      </w:r>
      <w:r>
        <w:rPr>
          <w:rFonts w:hint="eastAsia"/>
          <w:szCs w:val="21"/>
        </w:rPr>
        <w:t xml:space="preserve">   天然气</w:t>
      </w:r>
    </w:p>
    <w:p w14:paraId="60F45967">
      <w:pPr>
        <w:spacing w:line="440" w:lineRule="exact"/>
        <w:ind w:firstLine="420" w:firstLineChars="200"/>
        <w:rPr>
          <w:szCs w:val="21"/>
        </w:rPr>
      </w:pPr>
      <w:r>
        <w:rPr>
          <w:szCs w:val="21"/>
        </w:rPr>
        <w:t>GB 18047-2017</w:t>
      </w:r>
      <w:r>
        <w:rPr>
          <w:rFonts w:hint="eastAsia"/>
          <w:szCs w:val="21"/>
        </w:rPr>
        <w:t xml:space="preserve">    车用压缩天然气</w:t>
      </w:r>
    </w:p>
    <w:p w14:paraId="1916B650">
      <w:pPr>
        <w:spacing w:line="440" w:lineRule="exact"/>
        <w:ind w:firstLine="420" w:firstLineChars="200"/>
        <w:rPr>
          <w:szCs w:val="21"/>
        </w:rPr>
      </w:pPr>
      <w:r>
        <w:rPr>
          <w:szCs w:val="21"/>
        </w:rPr>
        <w:t>现行有效的企业标准、团体标准、地方标准及产品明示质量要求</w:t>
      </w:r>
    </w:p>
    <w:p w14:paraId="175CD223">
      <w:pPr>
        <w:spacing w:line="440" w:lineRule="exact"/>
        <w:rPr>
          <w:szCs w:val="21"/>
        </w:rPr>
      </w:pPr>
      <w:r>
        <w:rPr>
          <w:szCs w:val="21"/>
        </w:rPr>
        <w:t>3.2判定原则</w:t>
      </w:r>
    </w:p>
    <w:p w14:paraId="5EF64F98">
      <w:pPr>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2A5873FB">
      <w:pPr>
        <w:spacing w:line="440" w:lineRule="exact"/>
        <w:ind w:firstLine="420" w:firstLineChars="200"/>
        <w:rPr>
          <w:szCs w:val="21"/>
        </w:rPr>
      </w:pPr>
      <w:r>
        <w:rPr>
          <w:szCs w:val="21"/>
        </w:rPr>
        <w:t>若被检产品明示的质量要求高于本细则中检验项目依据的标准要求时，应按被检产品明示的质量要求判定。</w:t>
      </w:r>
    </w:p>
    <w:p w14:paraId="1E661E08">
      <w:pPr>
        <w:spacing w:line="440" w:lineRule="exact"/>
        <w:ind w:firstLine="420" w:firstLineChars="200"/>
        <w:rPr>
          <w:szCs w:val="21"/>
        </w:rPr>
      </w:pPr>
      <w:r>
        <w:rPr>
          <w:szCs w:val="21"/>
        </w:rPr>
        <w:t>若被检产品明示的质量要求低于本细则中检验项目依据的强制性标准要求时，应按照强制性标准要求判定。</w:t>
      </w:r>
    </w:p>
    <w:p w14:paraId="4E9AD513">
      <w:pPr>
        <w:spacing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24ED0E46">
      <w:pPr>
        <w:spacing w:line="440" w:lineRule="exact"/>
        <w:ind w:firstLine="420" w:firstLineChars="200"/>
        <w:rPr>
          <w:szCs w:val="21"/>
        </w:rPr>
      </w:pPr>
      <w:r>
        <w:rPr>
          <w:szCs w:val="21"/>
        </w:rPr>
        <w:t>若被检产品明示的质量要求缺少本细则中检验项目依据的强制性标准要求时，应按照强制性标准要求判定。</w:t>
      </w:r>
    </w:p>
    <w:p w14:paraId="35495B23">
      <w:pPr>
        <w:spacing w:line="440" w:lineRule="exact"/>
        <w:ind w:firstLine="420" w:firstLineChars="200"/>
        <w:rPr>
          <w:szCs w:val="21"/>
        </w:rPr>
      </w:pPr>
      <w:r>
        <w:rPr>
          <w:szCs w:val="21"/>
        </w:rPr>
        <w:t>若被检产品明示的质量要求缺少本细则中检验项目依据的推荐性标准要求时，该项目不参与判定。</w:t>
      </w:r>
    </w:p>
    <w:p w14:paraId="59998F05">
      <w:pPr>
        <w:spacing w:line="440" w:lineRule="exact"/>
        <w:ind w:firstLine="420" w:firstLineChars="200"/>
        <w:rPr>
          <w:szCs w:val="21"/>
        </w:rPr>
      </w:pPr>
    </w:p>
    <w:sectPr>
      <w:footerReference r:id="rId3" w:type="default"/>
      <w:pgSz w:w="11906" w:h="16838"/>
      <w:pgMar w:top="1985" w:right="1474"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72E2DB9-C6F7-4FA6-86C2-C6B1249015EF}"/>
  </w:font>
  <w:font w:name="Arial">
    <w:panose1 w:val="020B0604020202020204"/>
    <w:charset w:val="01"/>
    <w:family w:val="swiss"/>
    <w:pitch w:val="default"/>
    <w:sig w:usb0="E0002EFF" w:usb1="C000785B" w:usb2="00000009" w:usb3="00000000" w:csb0="400001FF" w:csb1="FFFF0000"/>
    <w:embedRegular r:id="rId2" w:fontKey="{C13BB3A3-B20A-40F3-88FD-2A47F01639E0}"/>
  </w:font>
  <w:font w:name="黑体">
    <w:panose1 w:val="02010609060101010101"/>
    <w:charset w:val="86"/>
    <w:family w:val="auto"/>
    <w:pitch w:val="default"/>
    <w:sig w:usb0="800002BF" w:usb1="38CF7CFA" w:usb2="00000016" w:usb3="00000000" w:csb0="00040001" w:csb1="00000000"/>
    <w:embedRegular r:id="rId3" w:fontKey="{A24EB0DD-969F-4213-95E3-52FD2CFD298E}"/>
  </w:font>
  <w:font w:name="Courier New">
    <w:panose1 w:val="02070309020205020404"/>
    <w:charset w:val="01"/>
    <w:family w:val="modern"/>
    <w:pitch w:val="default"/>
    <w:sig w:usb0="E0002EFF" w:usb1="C0007843" w:usb2="00000009" w:usb3="00000000" w:csb0="400001FF" w:csb1="FFFF0000"/>
    <w:embedRegular r:id="rId4" w:fontKey="{89FC2281-980F-468B-BEE0-9B492320DE04}"/>
  </w:font>
  <w:font w:name="Symbol">
    <w:panose1 w:val="05050102010706020507"/>
    <w:charset w:val="02"/>
    <w:family w:val="roman"/>
    <w:pitch w:val="default"/>
    <w:sig w:usb0="00000000" w:usb1="00000000" w:usb2="00000000" w:usb3="00000000" w:csb0="80000000" w:csb1="00000000"/>
    <w:embedRegular r:id="rId5" w:fontKey="{450E34DB-20D3-4AEE-A9BF-169FA3E30798}"/>
  </w:font>
  <w:font w:name="Calibri">
    <w:panose1 w:val="020F0502020204030204"/>
    <w:charset w:val="00"/>
    <w:family w:val="swiss"/>
    <w:pitch w:val="default"/>
    <w:sig w:usb0="E4002EFF" w:usb1="C200247B" w:usb2="00000009" w:usb3="00000000" w:csb0="200001FF" w:csb1="00000000"/>
    <w:embedRegular r:id="rId6" w:fontKey="{4E778B20-05EE-4FA6-AEAB-2BF09AD0A8C3}"/>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2156735"/>
    </w:sdtPr>
    <w:sdtEndPr>
      <w:rPr>
        <w:rFonts w:ascii="Times New Roman" w:hAnsi="Times New Roman" w:cs="Times New Roman"/>
        <w:sz w:val="21"/>
        <w:szCs w:val="21"/>
      </w:rPr>
    </w:sdtEndPr>
    <w:sdtContent>
      <w:p w14:paraId="1C1FCA03">
        <w:pPr>
          <w:pStyle w:val="11"/>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0ZWI1ZmQ0NjIyZWMzNzEwOGFhYzFiOTRmODM0NTQifQ=="/>
  </w:docVars>
  <w:rsids>
    <w:rsidRoot w:val="002F3A86"/>
    <w:rsid w:val="00015D2A"/>
    <w:rsid w:val="00043E20"/>
    <w:rsid w:val="0008002D"/>
    <w:rsid w:val="00097FBA"/>
    <w:rsid w:val="00153015"/>
    <w:rsid w:val="00177DF9"/>
    <w:rsid w:val="0019746A"/>
    <w:rsid w:val="001C719F"/>
    <w:rsid w:val="001F765F"/>
    <w:rsid w:val="002004E7"/>
    <w:rsid w:val="002316BF"/>
    <w:rsid w:val="002747EF"/>
    <w:rsid w:val="0029162A"/>
    <w:rsid w:val="002B15A3"/>
    <w:rsid w:val="002F3A86"/>
    <w:rsid w:val="00345456"/>
    <w:rsid w:val="003472D4"/>
    <w:rsid w:val="00354BE8"/>
    <w:rsid w:val="00381DCA"/>
    <w:rsid w:val="003B2EB2"/>
    <w:rsid w:val="003F4DA7"/>
    <w:rsid w:val="004106B2"/>
    <w:rsid w:val="004A3131"/>
    <w:rsid w:val="004A34C9"/>
    <w:rsid w:val="005105E8"/>
    <w:rsid w:val="005752F6"/>
    <w:rsid w:val="005E35C1"/>
    <w:rsid w:val="00610A40"/>
    <w:rsid w:val="00640D08"/>
    <w:rsid w:val="007321FA"/>
    <w:rsid w:val="00775A62"/>
    <w:rsid w:val="00896024"/>
    <w:rsid w:val="00917629"/>
    <w:rsid w:val="009410B7"/>
    <w:rsid w:val="0098534A"/>
    <w:rsid w:val="00A55105"/>
    <w:rsid w:val="00B15AB3"/>
    <w:rsid w:val="00B44460"/>
    <w:rsid w:val="00B54E1A"/>
    <w:rsid w:val="00C120B7"/>
    <w:rsid w:val="00C542BE"/>
    <w:rsid w:val="00C6459B"/>
    <w:rsid w:val="00D632A3"/>
    <w:rsid w:val="00E1419B"/>
    <w:rsid w:val="00EE16F0"/>
    <w:rsid w:val="00FD2BAF"/>
    <w:rsid w:val="02214485"/>
    <w:rsid w:val="1DEE34A8"/>
    <w:rsid w:val="450D17A5"/>
    <w:rsid w:val="4E2E7409"/>
    <w:rsid w:val="51EB0048"/>
    <w:rsid w:val="581734B3"/>
    <w:rsid w:val="68514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autoRedefine/>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1"/>
    <w:autoRedefine/>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2"/>
    <w:autoRedefine/>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23"/>
    <w:autoRedefine/>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autoRedefine/>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autoRedefine/>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autoRedefine/>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autoRedefine/>
    <w:semiHidden/>
    <w:qFormat/>
    <w:uiPriority w:val="9"/>
    <w:rPr>
      <w:rFonts w:cstheme="majorBidi"/>
      <w:color w:val="104862" w:themeColor="accent1" w:themeShade="BF"/>
      <w:sz w:val="28"/>
      <w:szCs w:val="28"/>
    </w:rPr>
  </w:style>
  <w:style w:type="character" w:customStyle="1" w:styleId="21">
    <w:name w:val="标题 5 字符"/>
    <w:basedOn w:val="16"/>
    <w:link w:val="6"/>
    <w:autoRedefine/>
    <w:semiHidden/>
    <w:qFormat/>
    <w:uiPriority w:val="9"/>
    <w:rPr>
      <w:rFonts w:cstheme="majorBidi"/>
      <w:color w:val="104862" w:themeColor="accent1" w:themeShade="BF"/>
      <w:sz w:val="24"/>
      <w:szCs w:val="24"/>
    </w:rPr>
  </w:style>
  <w:style w:type="character" w:customStyle="1" w:styleId="22">
    <w:name w:val="标题 6 字符"/>
    <w:basedOn w:val="16"/>
    <w:link w:val="7"/>
    <w:autoRedefine/>
    <w:semiHidden/>
    <w:qFormat/>
    <w:uiPriority w:val="9"/>
    <w:rPr>
      <w:rFonts w:cstheme="majorBidi"/>
      <w:b/>
      <w:bCs/>
      <w:color w:val="104862" w:themeColor="accent1" w:themeShade="BF"/>
    </w:rPr>
  </w:style>
  <w:style w:type="character" w:customStyle="1" w:styleId="23">
    <w:name w:val="标题 7 字符"/>
    <w:basedOn w:val="16"/>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autoRedefine/>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autoRedefine/>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autoRedefine/>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autoRedefine/>
    <w:qFormat/>
    <w:uiPriority w:val="34"/>
    <w:pPr>
      <w:ind w:left="720"/>
      <w:contextualSpacing/>
    </w:pPr>
    <w:rPr>
      <w:rFonts w:asciiTheme="minorHAnsi" w:hAnsiTheme="minorHAnsi" w:eastAsiaTheme="minorEastAsia" w:cstheme="minorBidi"/>
      <w:szCs w:val="22"/>
    </w:rPr>
  </w:style>
  <w:style w:type="character" w:customStyle="1" w:styleId="31">
    <w:name w:val="明显强调1"/>
    <w:basedOn w:val="16"/>
    <w:autoRedefine/>
    <w:qFormat/>
    <w:uiPriority w:val="21"/>
    <w:rPr>
      <w:i/>
      <w:iCs/>
      <w:color w:val="104862" w:themeColor="accent1" w:themeShade="BF"/>
    </w:rPr>
  </w:style>
  <w:style w:type="paragraph" w:styleId="32">
    <w:name w:val="Intense Quote"/>
    <w:basedOn w:val="1"/>
    <w:next w:val="1"/>
    <w:link w:val="33"/>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3">
    <w:name w:val="明显引用 字符"/>
    <w:basedOn w:val="16"/>
    <w:link w:val="32"/>
    <w:autoRedefine/>
    <w:qFormat/>
    <w:uiPriority w:val="30"/>
    <w:rPr>
      <w:i/>
      <w:iCs/>
      <w:color w:val="104862" w:themeColor="accent1" w:themeShade="BF"/>
    </w:rPr>
  </w:style>
  <w:style w:type="character" w:customStyle="1" w:styleId="34">
    <w:name w:val="明显参考1"/>
    <w:basedOn w:val="16"/>
    <w:autoRedefine/>
    <w:qFormat/>
    <w:uiPriority w:val="32"/>
    <w:rPr>
      <w:b/>
      <w:bCs/>
      <w:smallCaps/>
      <w:color w:val="104862" w:themeColor="accent1" w:themeShade="BF"/>
      <w:spacing w:val="5"/>
    </w:rPr>
  </w:style>
  <w:style w:type="character" w:customStyle="1" w:styleId="35">
    <w:name w:val="页眉 字符"/>
    <w:basedOn w:val="16"/>
    <w:link w:val="12"/>
    <w:autoRedefine/>
    <w:qFormat/>
    <w:uiPriority w:val="99"/>
    <w:rPr>
      <w:sz w:val="18"/>
      <w:szCs w:val="18"/>
    </w:rPr>
  </w:style>
  <w:style w:type="character" w:customStyle="1" w:styleId="36">
    <w:name w:val="页脚 字符"/>
    <w:basedOn w:val="16"/>
    <w:link w:val="11"/>
    <w:autoRedefine/>
    <w:qFormat/>
    <w:uiPriority w:val="99"/>
    <w:rPr>
      <w:sz w:val="18"/>
      <w:szCs w:val="18"/>
    </w:rPr>
  </w:style>
  <w:style w:type="character" w:customStyle="1" w:styleId="37">
    <w:name w:val="font2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735</Words>
  <Characters>1128</Characters>
  <Lines>58</Lines>
  <Paragraphs>62</Paragraphs>
  <TotalTime>4</TotalTime>
  <ScaleCrop>false</ScaleCrop>
  <LinksUpToDate>false</LinksUpToDate>
  <CharactersWithSpaces>1173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2024-04-24T11:22:00Z</dcterms:created>
  <dc:creator>斌 张</dc:creator>
  <cp:lastModifiedBy>孟德光</cp:lastModifiedBy>
  <dcterms:modified xsi:type="dcterms:W3CDTF">2026-06-23T06:57:16Z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6055F2CC48F04A8EBFD22ACE1F8692BB_13</vt:lpwstr>
  </property>
  <property fmtid="{D5CDD505-2E9C-101B-9397-08002B2CF9AE}" pid="4" name="KSOTemplateDocerSaveRecord">
    <vt:lpwstr>eyJoZGlkIjoiMGQ0YjkyNGYxMWViY2M0OTE3NWM2YTJlN2EzYWU5NTQiLCJ1c2VySWQiOiI0NDY1MTIzMjkifQ==</vt:lpwstr>
  </property>
</Properties>
</file>