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3701A4">
      <w:pPr>
        <w:spacing w:line="594" w:lineRule="exact"/>
        <w:jc w:val="center"/>
        <w:rPr>
          <w:rFonts w:hint="eastAsia" w:ascii="宋体" w:hAnsi="宋体" w:eastAsia="宋体" w:cs="宋体"/>
          <w:b/>
          <w:bCs/>
          <w:sz w:val="32"/>
          <w:szCs w:val="32"/>
        </w:rPr>
      </w:pPr>
      <w:r>
        <w:rPr>
          <w:rFonts w:hint="eastAsia" w:ascii="宋体" w:hAnsi="宋体" w:eastAsia="宋体" w:cs="宋体"/>
          <w:b/>
          <w:bCs/>
          <w:sz w:val="32"/>
          <w:szCs w:val="32"/>
          <w:lang w:val="en-US" w:eastAsia="zh-CN"/>
        </w:rPr>
        <w:t>本溪市</w:t>
      </w:r>
      <w:r>
        <w:rPr>
          <w:rFonts w:hint="eastAsia" w:ascii="宋体" w:hAnsi="宋体" w:eastAsia="宋体" w:cs="宋体"/>
          <w:b/>
          <w:bCs/>
          <w:sz w:val="32"/>
          <w:szCs w:val="32"/>
        </w:rPr>
        <w:t>危险化学品有机产品质量监督抽查实施细则</w:t>
      </w:r>
    </w:p>
    <w:p w14:paraId="6E09B884">
      <w:pPr>
        <w:spacing w:line="594" w:lineRule="exact"/>
        <w:jc w:val="center"/>
        <w:rPr>
          <w:rFonts w:hint="eastAsia" w:ascii="黑体" w:hAnsi="黑体" w:eastAsia="黑体" w:cs="黑体"/>
          <w:sz w:val="32"/>
          <w:szCs w:val="32"/>
        </w:rPr>
      </w:pPr>
      <w:r>
        <w:rPr>
          <w:rFonts w:hint="eastAsia" w:ascii="宋体" w:hAnsi="宋体" w:eastAsia="宋体" w:cs="宋体"/>
          <w:b/>
          <w:bCs/>
          <w:sz w:val="32"/>
          <w:szCs w:val="32"/>
          <w:lang w:eastAsia="zh-CN"/>
        </w:rPr>
        <w:t>（</w:t>
      </w:r>
      <w:r>
        <w:rPr>
          <w:rFonts w:hint="eastAsia" w:ascii="宋体" w:hAnsi="宋体" w:eastAsia="宋体" w:cs="宋体"/>
          <w:b/>
          <w:bCs/>
          <w:sz w:val="32"/>
          <w:szCs w:val="32"/>
          <w:lang w:val="en-US" w:eastAsia="zh-CN"/>
        </w:rPr>
        <w:t>2026年版</w:t>
      </w:r>
      <w:r>
        <w:rPr>
          <w:rFonts w:hint="eastAsia" w:ascii="宋体" w:hAnsi="宋体" w:eastAsia="宋体" w:cs="宋体"/>
          <w:b/>
          <w:bCs/>
          <w:sz w:val="32"/>
          <w:szCs w:val="32"/>
          <w:lang w:eastAsia="zh-CN"/>
        </w:rPr>
        <w:t>）</w:t>
      </w:r>
    </w:p>
    <w:p w14:paraId="2395EBEE">
      <w:pPr>
        <w:snapToGrid w:val="0"/>
        <w:spacing w:before="312" w:beforeLines="100" w:after="156" w:afterLines="50" w:line="440" w:lineRule="exact"/>
        <w:rPr>
          <w:rFonts w:eastAsia="黑体"/>
          <w:szCs w:val="21"/>
        </w:rPr>
      </w:pPr>
      <w:r>
        <w:rPr>
          <w:rFonts w:eastAsia="黑体"/>
          <w:szCs w:val="21"/>
        </w:rPr>
        <w:t>1 抽样方法</w:t>
      </w:r>
      <w:bookmarkStart w:id="0" w:name="_GoBack"/>
      <w:bookmarkEnd w:id="0"/>
    </w:p>
    <w:p w14:paraId="2CB17442">
      <w:pPr>
        <w:snapToGrid w:val="0"/>
        <w:spacing w:line="440" w:lineRule="exact"/>
        <w:ind w:firstLine="420" w:firstLineChars="200"/>
        <w:rPr>
          <w:szCs w:val="21"/>
        </w:rPr>
      </w:pPr>
      <w:r>
        <w:rPr>
          <w:szCs w:val="21"/>
        </w:rPr>
        <w:t>以随机抽样的方式在被抽样生产者、销售者的待销产品中抽取。</w:t>
      </w:r>
    </w:p>
    <w:p w14:paraId="2B6C7CE5">
      <w:pPr>
        <w:snapToGrid w:val="0"/>
        <w:spacing w:line="440" w:lineRule="exact"/>
        <w:ind w:firstLine="420" w:firstLineChars="200"/>
        <w:rPr>
          <w:szCs w:val="21"/>
        </w:rPr>
      </w:pPr>
      <w:r>
        <w:rPr>
          <w:szCs w:val="21"/>
        </w:rPr>
        <w:t>随机数一般可使用随机数表等方法产生。</w:t>
      </w:r>
    </w:p>
    <w:p w14:paraId="2089C5B9">
      <w:pPr>
        <w:snapToGrid w:val="0"/>
        <w:spacing w:line="440" w:lineRule="exact"/>
        <w:ind w:firstLine="420" w:firstLineChars="200"/>
        <w:rPr>
          <w:rFonts w:hint="eastAsia"/>
          <w:szCs w:val="21"/>
        </w:rPr>
      </w:pPr>
      <w:r>
        <w:rPr>
          <w:szCs w:val="21"/>
        </w:rPr>
        <w:t>每批次产品抽取2份</w:t>
      </w:r>
      <w:r>
        <w:rPr>
          <w:rFonts w:hint="eastAsia"/>
          <w:szCs w:val="21"/>
        </w:rPr>
        <w:t>样品，</w:t>
      </w:r>
      <w:r>
        <w:rPr>
          <w:szCs w:val="21"/>
        </w:rPr>
        <w:t>其中1份作为检验样品，1份作为备用样品。</w:t>
      </w:r>
      <w:r>
        <w:rPr>
          <w:rFonts w:hint="eastAsia"/>
          <w:szCs w:val="21"/>
        </w:rPr>
        <w:t>将待抽取的样品充分混匀后，固体样品1份至少取500g，储于清洁干燥的广口玻璃瓶或塑料包装物中；液体样品1份至少取500mL，储于清洁干燥的玻璃瓶或塑料包装瓶中。</w:t>
      </w:r>
    </w:p>
    <w:p w14:paraId="3BA536BD">
      <w:pPr>
        <w:snapToGrid w:val="0"/>
        <w:spacing w:before="312" w:beforeLines="100" w:line="440" w:lineRule="exact"/>
        <w:rPr>
          <w:rFonts w:eastAsia="黑体"/>
          <w:szCs w:val="21"/>
        </w:rPr>
      </w:pPr>
      <w:r>
        <w:rPr>
          <w:rFonts w:eastAsia="黑体"/>
          <w:szCs w:val="21"/>
        </w:rPr>
        <w:t>2 检验依据</w:t>
      </w:r>
    </w:p>
    <w:p w14:paraId="5C72D201">
      <w:pPr>
        <w:snapToGrid w:val="0"/>
        <w:spacing w:line="360" w:lineRule="auto"/>
        <w:jc w:val="both"/>
        <w:rPr>
          <w:szCs w:val="21"/>
        </w:rPr>
      </w:pPr>
    </w:p>
    <w:p w14:paraId="3179A647">
      <w:pPr>
        <w:snapToGrid w:val="0"/>
        <w:spacing w:line="440" w:lineRule="exact"/>
        <w:jc w:val="center"/>
        <w:rPr>
          <w:szCs w:val="21"/>
        </w:rPr>
      </w:pPr>
      <w:r>
        <w:rPr>
          <w:szCs w:val="21"/>
        </w:rPr>
        <w:t>表</w:t>
      </w:r>
      <w:r>
        <w:rPr>
          <w:rFonts w:hint="eastAsia"/>
          <w:szCs w:val="21"/>
          <w:lang w:val="en-US" w:eastAsia="zh-CN"/>
        </w:rPr>
        <w:t>1</w:t>
      </w:r>
      <w:r>
        <w:rPr>
          <w:szCs w:val="21"/>
        </w:rPr>
        <w:t xml:space="preserve"> 粗苯</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2896"/>
        <w:gridCol w:w="2541"/>
        <w:gridCol w:w="2541"/>
      </w:tblGrid>
      <w:tr w14:paraId="40F0E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0556F7D3">
            <w:pPr>
              <w:jc w:val="center"/>
              <w:rPr>
                <w:szCs w:val="21"/>
              </w:rPr>
            </w:pPr>
            <w:r>
              <w:rPr>
                <w:szCs w:val="21"/>
              </w:rPr>
              <w:t>序号</w:t>
            </w:r>
          </w:p>
        </w:tc>
        <w:tc>
          <w:tcPr>
            <w:tcW w:w="2896" w:type="dxa"/>
            <w:noWrap w:val="0"/>
            <w:vAlign w:val="center"/>
          </w:tcPr>
          <w:p w14:paraId="36631895">
            <w:pPr>
              <w:jc w:val="center"/>
              <w:rPr>
                <w:szCs w:val="21"/>
              </w:rPr>
            </w:pPr>
            <w:r>
              <w:rPr>
                <w:szCs w:val="21"/>
              </w:rPr>
              <w:t>检验项目</w:t>
            </w:r>
          </w:p>
        </w:tc>
        <w:tc>
          <w:tcPr>
            <w:tcW w:w="2541" w:type="dxa"/>
            <w:noWrap w:val="0"/>
            <w:vAlign w:val="center"/>
          </w:tcPr>
          <w:p w14:paraId="4648230C">
            <w:pPr>
              <w:jc w:val="center"/>
              <w:rPr>
                <w:szCs w:val="21"/>
              </w:rPr>
            </w:pPr>
            <w:r>
              <w:rPr>
                <w:szCs w:val="21"/>
              </w:rPr>
              <w:t>检验依据</w:t>
            </w:r>
          </w:p>
        </w:tc>
        <w:tc>
          <w:tcPr>
            <w:tcW w:w="2541" w:type="dxa"/>
            <w:noWrap w:val="0"/>
            <w:vAlign w:val="center"/>
          </w:tcPr>
          <w:p w14:paraId="68BB7C7B">
            <w:pPr>
              <w:jc w:val="center"/>
              <w:rPr>
                <w:szCs w:val="21"/>
              </w:rPr>
            </w:pPr>
            <w:r>
              <w:rPr>
                <w:szCs w:val="21"/>
              </w:rPr>
              <w:t>检验方法</w:t>
            </w:r>
          </w:p>
        </w:tc>
      </w:tr>
      <w:tr w14:paraId="17B76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10507224">
            <w:pPr>
              <w:jc w:val="center"/>
              <w:rPr>
                <w:szCs w:val="21"/>
              </w:rPr>
            </w:pPr>
            <w:r>
              <w:rPr>
                <w:szCs w:val="21"/>
              </w:rPr>
              <w:t>1</w:t>
            </w:r>
          </w:p>
        </w:tc>
        <w:tc>
          <w:tcPr>
            <w:tcW w:w="2896" w:type="dxa"/>
            <w:noWrap w:val="0"/>
            <w:vAlign w:val="center"/>
          </w:tcPr>
          <w:p w14:paraId="4BEC1F97">
            <w:pPr>
              <w:jc w:val="center"/>
              <w:rPr>
                <w:szCs w:val="21"/>
              </w:rPr>
            </w:pPr>
            <w:r>
              <w:rPr>
                <w:szCs w:val="21"/>
              </w:rPr>
              <w:t>外观</w:t>
            </w:r>
          </w:p>
        </w:tc>
        <w:tc>
          <w:tcPr>
            <w:tcW w:w="2541" w:type="dxa"/>
            <w:noWrap w:val="0"/>
            <w:vAlign w:val="center"/>
          </w:tcPr>
          <w:p w14:paraId="4FA86074">
            <w:pPr>
              <w:jc w:val="center"/>
              <w:rPr>
                <w:szCs w:val="21"/>
              </w:rPr>
            </w:pPr>
            <w:r>
              <w:rPr>
                <w:szCs w:val="21"/>
              </w:rPr>
              <w:t>YB/T 5022-2016</w:t>
            </w:r>
          </w:p>
        </w:tc>
        <w:tc>
          <w:tcPr>
            <w:tcW w:w="2541" w:type="dxa"/>
            <w:noWrap w:val="0"/>
            <w:vAlign w:val="center"/>
          </w:tcPr>
          <w:p w14:paraId="1F993BD4">
            <w:pPr>
              <w:jc w:val="center"/>
              <w:rPr>
                <w:szCs w:val="21"/>
              </w:rPr>
            </w:pPr>
            <w:r>
              <w:rPr>
                <w:szCs w:val="21"/>
              </w:rPr>
              <w:t>YB/T 5022-2016</w:t>
            </w:r>
          </w:p>
        </w:tc>
      </w:tr>
      <w:tr w14:paraId="14631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26B50252">
            <w:pPr>
              <w:jc w:val="center"/>
              <w:rPr>
                <w:szCs w:val="21"/>
              </w:rPr>
            </w:pPr>
            <w:r>
              <w:rPr>
                <w:szCs w:val="21"/>
              </w:rPr>
              <w:t>2</w:t>
            </w:r>
          </w:p>
        </w:tc>
        <w:tc>
          <w:tcPr>
            <w:tcW w:w="2896" w:type="dxa"/>
            <w:noWrap w:val="0"/>
            <w:vAlign w:val="center"/>
          </w:tcPr>
          <w:p w14:paraId="05ED7C0E">
            <w:pPr>
              <w:jc w:val="center"/>
              <w:rPr>
                <w:szCs w:val="21"/>
              </w:rPr>
            </w:pPr>
            <w:r>
              <w:rPr>
                <w:rFonts w:hint="eastAsia"/>
                <w:szCs w:val="21"/>
              </w:rPr>
              <w:t>密度（20℃）</w:t>
            </w:r>
          </w:p>
        </w:tc>
        <w:tc>
          <w:tcPr>
            <w:tcW w:w="2541" w:type="dxa"/>
            <w:noWrap w:val="0"/>
            <w:vAlign w:val="center"/>
          </w:tcPr>
          <w:p w14:paraId="53005DD9">
            <w:pPr>
              <w:jc w:val="center"/>
              <w:rPr>
                <w:szCs w:val="21"/>
              </w:rPr>
            </w:pPr>
            <w:r>
              <w:rPr>
                <w:szCs w:val="21"/>
              </w:rPr>
              <w:t>YB/T 5022-2016</w:t>
            </w:r>
          </w:p>
        </w:tc>
        <w:tc>
          <w:tcPr>
            <w:tcW w:w="2541" w:type="dxa"/>
            <w:noWrap w:val="0"/>
            <w:vAlign w:val="center"/>
          </w:tcPr>
          <w:p w14:paraId="352A2DDA">
            <w:pPr>
              <w:jc w:val="center"/>
              <w:rPr>
                <w:szCs w:val="21"/>
              </w:rPr>
            </w:pPr>
            <w:r>
              <w:rPr>
                <w:szCs w:val="21"/>
              </w:rPr>
              <w:t>GB/T 2281-2008</w:t>
            </w:r>
          </w:p>
        </w:tc>
      </w:tr>
      <w:tr w14:paraId="05E85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43CCDC24">
            <w:pPr>
              <w:jc w:val="center"/>
              <w:rPr>
                <w:szCs w:val="21"/>
              </w:rPr>
            </w:pPr>
            <w:r>
              <w:rPr>
                <w:szCs w:val="21"/>
              </w:rPr>
              <w:t>3</w:t>
            </w:r>
          </w:p>
        </w:tc>
        <w:tc>
          <w:tcPr>
            <w:tcW w:w="2896" w:type="dxa"/>
            <w:noWrap w:val="0"/>
            <w:vAlign w:val="center"/>
          </w:tcPr>
          <w:p w14:paraId="2F7C08BB">
            <w:pPr>
              <w:jc w:val="center"/>
              <w:rPr>
                <w:szCs w:val="21"/>
              </w:rPr>
            </w:pPr>
            <w:r>
              <w:rPr>
                <w:rFonts w:hint="eastAsia"/>
                <w:szCs w:val="21"/>
              </w:rPr>
              <w:t>馏程（大气压101.3kpa）</w:t>
            </w:r>
          </w:p>
        </w:tc>
        <w:tc>
          <w:tcPr>
            <w:tcW w:w="2541" w:type="dxa"/>
            <w:noWrap w:val="0"/>
            <w:vAlign w:val="center"/>
          </w:tcPr>
          <w:p w14:paraId="3690E7BE">
            <w:pPr>
              <w:jc w:val="center"/>
              <w:rPr>
                <w:szCs w:val="21"/>
              </w:rPr>
            </w:pPr>
            <w:r>
              <w:rPr>
                <w:szCs w:val="21"/>
              </w:rPr>
              <w:t>YB/T 5022-2016</w:t>
            </w:r>
          </w:p>
        </w:tc>
        <w:tc>
          <w:tcPr>
            <w:tcW w:w="2541" w:type="dxa"/>
            <w:noWrap w:val="0"/>
            <w:vAlign w:val="center"/>
          </w:tcPr>
          <w:p w14:paraId="5B9DF589">
            <w:pPr>
              <w:jc w:val="center"/>
              <w:rPr>
                <w:szCs w:val="21"/>
              </w:rPr>
            </w:pPr>
            <w:r>
              <w:rPr>
                <w:szCs w:val="21"/>
              </w:rPr>
              <w:t>GB/T 2282-2022</w:t>
            </w:r>
          </w:p>
        </w:tc>
      </w:tr>
      <w:tr w14:paraId="16C2C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502859FC">
            <w:pPr>
              <w:jc w:val="center"/>
              <w:rPr>
                <w:szCs w:val="21"/>
              </w:rPr>
            </w:pPr>
            <w:r>
              <w:rPr>
                <w:szCs w:val="21"/>
              </w:rPr>
              <w:t>4</w:t>
            </w:r>
          </w:p>
        </w:tc>
        <w:tc>
          <w:tcPr>
            <w:tcW w:w="2896" w:type="dxa"/>
            <w:noWrap w:val="0"/>
            <w:vAlign w:val="center"/>
          </w:tcPr>
          <w:p w14:paraId="794FE917">
            <w:pPr>
              <w:jc w:val="center"/>
              <w:rPr>
                <w:szCs w:val="21"/>
              </w:rPr>
            </w:pPr>
            <w:r>
              <w:rPr>
                <w:szCs w:val="21"/>
              </w:rPr>
              <w:t>水分</w:t>
            </w:r>
          </w:p>
        </w:tc>
        <w:tc>
          <w:tcPr>
            <w:tcW w:w="2541" w:type="dxa"/>
            <w:noWrap w:val="0"/>
            <w:vAlign w:val="center"/>
          </w:tcPr>
          <w:p w14:paraId="27D233C6">
            <w:pPr>
              <w:jc w:val="center"/>
              <w:rPr>
                <w:szCs w:val="21"/>
              </w:rPr>
            </w:pPr>
            <w:r>
              <w:rPr>
                <w:szCs w:val="21"/>
              </w:rPr>
              <w:t>YB/T 5022-2016</w:t>
            </w:r>
          </w:p>
        </w:tc>
        <w:tc>
          <w:tcPr>
            <w:tcW w:w="2541" w:type="dxa"/>
            <w:noWrap w:val="0"/>
            <w:vAlign w:val="center"/>
          </w:tcPr>
          <w:p w14:paraId="3EB347DD">
            <w:pPr>
              <w:jc w:val="center"/>
              <w:rPr>
                <w:szCs w:val="21"/>
              </w:rPr>
            </w:pPr>
            <w:r>
              <w:rPr>
                <w:szCs w:val="21"/>
              </w:rPr>
              <w:t>YB/T 5022-2016</w:t>
            </w:r>
          </w:p>
        </w:tc>
      </w:tr>
    </w:tbl>
    <w:p w14:paraId="348A34BE">
      <w:pPr>
        <w:snapToGrid w:val="0"/>
        <w:spacing w:line="360" w:lineRule="auto"/>
        <w:jc w:val="center"/>
        <w:rPr>
          <w:szCs w:val="21"/>
        </w:rPr>
      </w:pPr>
    </w:p>
    <w:p w14:paraId="391DA02D">
      <w:pPr>
        <w:snapToGrid w:val="0"/>
        <w:spacing w:line="440" w:lineRule="exact"/>
        <w:jc w:val="center"/>
        <w:rPr>
          <w:szCs w:val="21"/>
        </w:rPr>
      </w:pPr>
      <w:r>
        <w:rPr>
          <w:szCs w:val="21"/>
        </w:rPr>
        <w:t>表</w:t>
      </w:r>
      <w:r>
        <w:rPr>
          <w:rFonts w:hint="eastAsia"/>
          <w:szCs w:val="21"/>
          <w:lang w:val="en-US" w:eastAsia="zh-CN"/>
        </w:rPr>
        <w:t>2</w:t>
      </w:r>
      <w:r>
        <w:rPr>
          <w:szCs w:val="21"/>
        </w:rPr>
        <w:t xml:space="preserve"> 焦化萘</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2896"/>
        <w:gridCol w:w="2541"/>
        <w:gridCol w:w="2541"/>
      </w:tblGrid>
      <w:tr w14:paraId="2DD19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5699785E">
            <w:pPr>
              <w:jc w:val="center"/>
              <w:rPr>
                <w:szCs w:val="21"/>
              </w:rPr>
            </w:pPr>
            <w:r>
              <w:rPr>
                <w:szCs w:val="21"/>
              </w:rPr>
              <w:t>序号</w:t>
            </w:r>
          </w:p>
        </w:tc>
        <w:tc>
          <w:tcPr>
            <w:tcW w:w="2896" w:type="dxa"/>
            <w:noWrap w:val="0"/>
            <w:vAlign w:val="center"/>
          </w:tcPr>
          <w:p w14:paraId="5792C253">
            <w:pPr>
              <w:jc w:val="center"/>
              <w:rPr>
                <w:szCs w:val="21"/>
              </w:rPr>
            </w:pPr>
            <w:r>
              <w:rPr>
                <w:szCs w:val="21"/>
              </w:rPr>
              <w:t>检验项目</w:t>
            </w:r>
          </w:p>
        </w:tc>
        <w:tc>
          <w:tcPr>
            <w:tcW w:w="2541" w:type="dxa"/>
            <w:noWrap w:val="0"/>
            <w:vAlign w:val="center"/>
          </w:tcPr>
          <w:p w14:paraId="42E1EE8D">
            <w:pPr>
              <w:jc w:val="center"/>
              <w:rPr>
                <w:szCs w:val="21"/>
              </w:rPr>
            </w:pPr>
            <w:r>
              <w:rPr>
                <w:szCs w:val="21"/>
              </w:rPr>
              <w:t>检验依据</w:t>
            </w:r>
          </w:p>
        </w:tc>
        <w:tc>
          <w:tcPr>
            <w:tcW w:w="2541" w:type="dxa"/>
            <w:noWrap w:val="0"/>
            <w:vAlign w:val="center"/>
          </w:tcPr>
          <w:p w14:paraId="7FCF7AD6">
            <w:pPr>
              <w:jc w:val="center"/>
              <w:rPr>
                <w:szCs w:val="21"/>
              </w:rPr>
            </w:pPr>
            <w:r>
              <w:rPr>
                <w:szCs w:val="21"/>
              </w:rPr>
              <w:t>检验方法</w:t>
            </w:r>
          </w:p>
        </w:tc>
      </w:tr>
      <w:tr w14:paraId="5CE10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6A2D0D50">
            <w:pPr>
              <w:jc w:val="center"/>
              <w:rPr>
                <w:szCs w:val="21"/>
              </w:rPr>
            </w:pPr>
            <w:r>
              <w:rPr>
                <w:szCs w:val="21"/>
              </w:rPr>
              <w:t>1</w:t>
            </w:r>
          </w:p>
        </w:tc>
        <w:tc>
          <w:tcPr>
            <w:tcW w:w="2896" w:type="dxa"/>
            <w:noWrap w:val="0"/>
            <w:vAlign w:val="center"/>
          </w:tcPr>
          <w:p w14:paraId="00B7C77B">
            <w:pPr>
              <w:jc w:val="center"/>
              <w:rPr>
                <w:szCs w:val="21"/>
              </w:rPr>
            </w:pPr>
            <w:r>
              <w:rPr>
                <w:szCs w:val="21"/>
              </w:rPr>
              <w:t>外观</w:t>
            </w:r>
          </w:p>
        </w:tc>
        <w:tc>
          <w:tcPr>
            <w:tcW w:w="2541" w:type="dxa"/>
            <w:noWrap w:val="0"/>
            <w:vAlign w:val="center"/>
          </w:tcPr>
          <w:p w14:paraId="6C0FD301">
            <w:pPr>
              <w:jc w:val="center"/>
              <w:rPr>
                <w:szCs w:val="21"/>
              </w:rPr>
            </w:pPr>
            <w:r>
              <w:rPr>
                <w:szCs w:val="21"/>
              </w:rPr>
              <w:t>GB/T 6699-2015</w:t>
            </w:r>
          </w:p>
        </w:tc>
        <w:tc>
          <w:tcPr>
            <w:tcW w:w="2541" w:type="dxa"/>
            <w:noWrap w:val="0"/>
            <w:vAlign w:val="center"/>
          </w:tcPr>
          <w:p w14:paraId="78F401C3">
            <w:pPr>
              <w:jc w:val="center"/>
              <w:rPr>
                <w:szCs w:val="21"/>
              </w:rPr>
            </w:pPr>
            <w:r>
              <w:rPr>
                <w:szCs w:val="21"/>
              </w:rPr>
              <w:t>GB/T 6699-2015</w:t>
            </w:r>
          </w:p>
        </w:tc>
      </w:tr>
      <w:tr w14:paraId="444BA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30686AFB">
            <w:pPr>
              <w:jc w:val="center"/>
              <w:rPr>
                <w:szCs w:val="21"/>
              </w:rPr>
            </w:pPr>
            <w:r>
              <w:rPr>
                <w:szCs w:val="21"/>
              </w:rPr>
              <w:t>2</w:t>
            </w:r>
          </w:p>
        </w:tc>
        <w:tc>
          <w:tcPr>
            <w:tcW w:w="2896" w:type="dxa"/>
            <w:noWrap w:val="0"/>
            <w:vAlign w:val="center"/>
          </w:tcPr>
          <w:p w14:paraId="0A3548C8">
            <w:pPr>
              <w:jc w:val="center"/>
              <w:rPr>
                <w:szCs w:val="21"/>
              </w:rPr>
            </w:pPr>
            <w:r>
              <w:rPr>
                <w:szCs w:val="21"/>
              </w:rPr>
              <w:t>结晶点</w:t>
            </w:r>
          </w:p>
        </w:tc>
        <w:tc>
          <w:tcPr>
            <w:tcW w:w="2541" w:type="dxa"/>
            <w:noWrap w:val="0"/>
            <w:vAlign w:val="center"/>
          </w:tcPr>
          <w:p w14:paraId="43E46431">
            <w:pPr>
              <w:jc w:val="center"/>
              <w:rPr>
                <w:szCs w:val="21"/>
              </w:rPr>
            </w:pPr>
            <w:r>
              <w:rPr>
                <w:szCs w:val="21"/>
              </w:rPr>
              <w:t>GB/T 6699-2015</w:t>
            </w:r>
          </w:p>
        </w:tc>
        <w:tc>
          <w:tcPr>
            <w:tcW w:w="2541" w:type="dxa"/>
            <w:noWrap w:val="0"/>
            <w:vAlign w:val="center"/>
          </w:tcPr>
          <w:p w14:paraId="1A16A50B">
            <w:pPr>
              <w:jc w:val="center"/>
              <w:rPr>
                <w:szCs w:val="21"/>
              </w:rPr>
            </w:pPr>
            <w:r>
              <w:rPr>
                <w:szCs w:val="21"/>
              </w:rPr>
              <w:t>GB/T 3069.2-2005</w:t>
            </w:r>
          </w:p>
        </w:tc>
      </w:tr>
      <w:tr w14:paraId="41586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52973EFD">
            <w:pPr>
              <w:jc w:val="center"/>
              <w:rPr>
                <w:szCs w:val="21"/>
              </w:rPr>
            </w:pPr>
            <w:r>
              <w:rPr>
                <w:szCs w:val="21"/>
              </w:rPr>
              <w:t>3</w:t>
            </w:r>
          </w:p>
        </w:tc>
        <w:tc>
          <w:tcPr>
            <w:tcW w:w="2896" w:type="dxa"/>
            <w:noWrap w:val="0"/>
            <w:vAlign w:val="center"/>
          </w:tcPr>
          <w:p w14:paraId="6FC68C70">
            <w:pPr>
              <w:jc w:val="center"/>
              <w:rPr>
                <w:szCs w:val="21"/>
              </w:rPr>
            </w:pPr>
            <w:r>
              <w:rPr>
                <w:rFonts w:hint="eastAsia"/>
                <w:szCs w:val="21"/>
              </w:rPr>
              <w:t>不挥发物（质量分数）</w:t>
            </w:r>
          </w:p>
        </w:tc>
        <w:tc>
          <w:tcPr>
            <w:tcW w:w="2541" w:type="dxa"/>
            <w:noWrap w:val="0"/>
            <w:vAlign w:val="center"/>
          </w:tcPr>
          <w:p w14:paraId="7F0B0D21">
            <w:pPr>
              <w:jc w:val="center"/>
              <w:rPr>
                <w:szCs w:val="21"/>
              </w:rPr>
            </w:pPr>
            <w:r>
              <w:rPr>
                <w:szCs w:val="21"/>
              </w:rPr>
              <w:t>GB/T 6699-2015</w:t>
            </w:r>
          </w:p>
        </w:tc>
        <w:tc>
          <w:tcPr>
            <w:tcW w:w="2541" w:type="dxa"/>
            <w:noWrap w:val="0"/>
            <w:vAlign w:val="center"/>
          </w:tcPr>
          <w:p w14:paraId="1D2A58C9">
            <w:pPr>
              <w:jc w:val="center"/>
              <w:rPr>
                <w:szCs w:val="21"/>
              </w:rPr>
            </w:pPr>
            <w:r>
              <w:rPr>
                <w:szCs w:val="21"/>
              </w:rPr>
              <w:t>GB/T 6701-2005</w:t>
            </w:r>
          </w:p>
        </w:tc>
      </w:tr>
      <w:tr w14:paraId="6838D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6F9716D9">
            <w:pPr>
              <w:jc w:val="center"/>
              <w:rPr>
                <w:szCs w:val="21"/>
              </w:rPr>
            </w:pPr>
            <w:r>
              <w:rPr>
                <w:szCs w:val="21"/>
              </w:rPr>
              <w:t>4</w:t>
            </w:r>
          </w:p>
        </w:tc>
        <w:tc>
          <w:tcPr>
            <w:tcW w:w="2896" w:type="dxa"/>
            <w:noWrap w:val="0"/>
            <w:vAlign w:val="center"/>
          </w:tcPr>
          <w:p w14:paraId="728F6560">
            <w:pPr>
              <w:jc w:val="center"/>
              <w:rPr>
                <w:szCs w:val="21"/>
              </w:rPr>
            </w:pPr>
            <w:r>
              <w:rPr>
                <w:szCs w:val="21"/>
              </w:rPr>
              <w:t>灰分</w:t>
            </w:r>
            <w:r>
              <w:rPr>
                <w:rFonts w:hint="eastAsia"/>
                <w:szCs w:val="21"/>
              </w:rPr>
              <w:t>（质量分数）</w:t>
            </w:r>
          </w:p>
        </w:tc>
        <w:tc>
          <w:tcPr>
            <w:tcW w:w="2541" w:type="dxa"/>
            <w:noWrap w:val="0"/>
            <w:vAlign w:val="center"/>
          </w:tcPr>
          <w:p w14:paraId="030411AC">
            <w:pPr>
              <w:jc w:val="center"/>
              <w:rPr>
                <w:szCs w:val="21"/>
              </w:rPr>
            </w:pPr>
            <w:r>
              <w:rPr>
                <w:szCs w:val="21"/>
              </w:rPr>
              <w:t>GB/T 6699-2015</w:t>
            </w:r>
          </w:p>
        </w:tc>
        <w:tc>
          <w:tcPr>
            <w:tcW w:w="2541" w:type="dxa"/>
            <w:noWrap w:val="0"/>
            <w:vAlign w:val="center"/>
          </w:tcPr>
          <w:p w14:paraId="60F5FC77">
            <w:pPr>
              <w:jc w:val="center"/>
              <w:rPr>
                <w:szCs w:val="21"/>
              </w:rPr>
            </w:pPr>
            <w:r>
              <w:rPr>
                <w:szCs w:val="21"/>
              </w:rPr>
              <w:t>GB/T 2295-2008</w:t>
            </w:r>
          </w:p>
        </w:tc>
      </w:tr>
    </w:tbl>
    <w:p w14:paraId="3B90D498">
      <w:pPr>
        <w:snapToGrid w:val="0"/>
        <w:spacing w:line="360" w:lineRule="auto"/>
        <w:jc w:val="center"/>
        <w:rPr>
          <w:szCs w:val="21"/>
        </w:rPr>
      </w:pPr>
    </w:p>
    <w:p w14:paraId="002C3280">
      <w:pPr>
        <w:adjustRightInd w:val="0"/>
        <w:snapToGrid w:val="0"/>
        <w:spacing w:before="156" w:beforeLines="50" w:line="440" w:lineRule="exact"/>
        <w:ind w:firstLine="420" w:firstLineChars="200"/>
        <w:rPr>
          <w:rFonts w:hint="eastAsia"/>
        </w:rPr>
      </w:pPr>
      <w:r>
        <w:rPr>
          <w:rFonts w:hint="eastAsia"/>
          <w:szCs w:val="21"/>
        </w:rPr>
        <w:t>执行企业标准、团体标准、地方标准的产品，检验项目参照上述内容执行。</w:t>
      </w:r>
    </w:p>
    <w:p w14:paraId="6B4C597D">
      <w:pPr>
        <w:snapToGrid w:val="0"/>
        <w:spacing w:line="440" w:lineRule="exact"/>
        <w:ind w:firstLine="420" w:firstLineChars="200"/>
        <w:rPr>
          <w:szCs w:val="21"/>
        </w:rPr>
      </w:pPr>
      <w:r>
        <w:rPr>
          <w:szCs w:val="21"/>
        </w:rPr>
        <w:t>凡是注日期的文件，其随后所有的修改单（不包括勘误的内容）或修订版不适用于本细则。凡是不注日期的文件，其最新版本适用于本细则。</w:t>
      </w:r>
    </w:p>
    <w:p w14:paraId="44D96942">
      <w:pPr>
        <w:spacing w:before="312" w:beforeLines="100" w:line="440" w:lineRule="exact"/>
        <w:rPr>
          <w:rFonts w:eastAsia="黑体"/>
          <w:szCs w:val="21"/>
        </w:rPr>
      </w:pPr>
      <w:r>
        <w:rPr>
          <w:rFonts w:eastAsia="黑体"/>
          <w:szCs w:val="21"/>
        </w:rPr>
        <w:t>3 判定规则</w:t>
      </w:r>
    </w:p>
    <w:p w14:paraId="115FA8AC">
      <w:pPr>
        <w:snapToGrid w:val="0"/>
        <w:spacing w:line="440" w:lineRule="exact"/>
        <w:rPr>
          <w:szCs w:val="21"/>
        </w:rPr>
      </w:pPr>
      <w:r>
        <w:rPr>
          <w:szCs w:val="21"/>
        </w:rPr>
        <w:t>3.1依据标准</w:t>
      </w:r>
    </w:p>
    <w:p w14:paraId="6335AD3C">
      <w:pPr>
        <w:spacing w:line="440" w:lineRule="exact"/>
        <w:ind w:firstLine="420" w:firstLineChars="200"/>
      </w:pPr>
      <w:r>
        <w:rPr>
          <w:szCs w:val="21"/>
        </w:rPr>
        <w:t>YB/T 5022-2016</w:t>
      </w:r>
      <w:r>
        <w:rPr>
          <w:rFonts w:hint="eastAsia"/>
          <w:szCs w:val="21"/>
        </w:rPr>
        <w:t xml:space="preserve"> </w:t>
      </w:r>
      <w:r>
        <w:rPr>
          <w:szCs w:val="21"/>
        </w:rPr>
        <w:t>粗苯</w:t>
      </w:r>
    </w:p>
    <w:p w14:paraId="5D2C0319">
      <w:pPr>
        <w:spacing w:line="440" w:lineRule="exact"/>
        <w:ind w:firstLine="420" w:firstLineChars="200"/>
      </w:pPr>
      <w:r>
        <w:rPr>
          <w:szCs w:val="21"/>
        </w:rPr>
        <w:t>GB/T 6699-2015</w:t>
      </w:r>
      <w:r>
        <w:rPr>
          <w:rFonts w:hint="eastAsia"/>
          <w:szCs w:val="21"/>
        </w:rPr>
        <w:t xml:space="preserve"> </w:t>
      </w:r>
      <w:r>
        <w:rPr>
          <w:szCs w:val="21"/>
        </w:rPr>
        <w:t>焦化萘</w:t>
      </w:r>
    </w:p>
    <w:p w14:paraId="2815AF51">
      <w:pPr>
        <w:snapToGrid w:val="0"/>
        <w:spacing w:line="440" w:lineRule="exact"/>
        <w:ind w:firstLine="420" w:firstLineChars="200"/>
        <w:rPr>
          <w:szCs w:val="21"/>
        </w:rPr>
      </w:pPr>
      <w:r>
        <w:rPr>
          <w:szCs w:val="21"/>
        </w:rPr>
        <w:t>现行有效的企业标准、团体标准、地方标准及产品明示质量要求</w:t>
      </w:r>
    </w:p>
    <w:p w14:paraId="54011D55">
      <w:pPr>
        <w:snapToGrid w:val="0"/>
        <w:spacing w:line="440" w:lineRule="exact"/>
        <w:rPr>
          <w:szCs w:val="21"/>
        </w:rPr>
      </w:pPr>
      <w:r>
        <w:rPr>
          <w:szCs w:val="21"/>
        </w:rPr>
        <w:t>3.2判定原则</w:t>
      </w:r>
    </w:p>
    <w:p w14:paraId="195AC2C9">
      <w:pPr>
        <w:adjustRightInd w:val="0"/>
        <w:snapToGrid w:val="0"/>
        <w:spacing w:line="440" w:lineRule="exact"/>
        <w:ind w:firstLine="420" w:firstLineChars="200"/>
        <w:rPr>
          <w:szCs w:val="21"/>
        </w:rPr>
      </w:pPr>
      <w:r>
        <w:rPr>
          <w:szCs w:val="21"/>
        </w:rPr>
        <w:t>经检验，检验项目全部合格，判定为被抽查产品</w:t>
      </w:r>
      <w:r>
        <w:rPr>
          <w:rFonts w:hint="eastAsia"/>
          <w:szCs w:val="21"/>
        </w:rPr>
        <w:t>所检项目未发现不</w:t>
      </w:r>
      <w:r>
        <w:rPr>
          <w:szCs w:val="21"/>
        </w:rPr>
        <w:t>合格；检验项目中任一项或一项以上不合格，判定为被抽查产品不合格。</w:t>
      </w:r>
    </w:p>
    <w:p w14:paraId="347BDC16">
      <w:pPr>
        <w:adjustRightInd w:val="0"/>
        <w:snapToGrid w:val="0"/>
        <w:spacing w:line="440" w:lineRule="exact"/>
        <w:ind w:firstLine="417" w:firstLineChars="199"/>
        <w:rPr>
          <w:szCs w:val="21"/>
        </w:rPr>
      </w:pPr>
      <w:r>
        <w:rPr>
          <w:szCs w:val="21"/>
        </w:rPr>
        <w:t>若被检产品明示的质量要求高于本细则中检验项目依据的标准要求时，应按被检产品明示的质量要求判定。</w:t>
      </w:r>
    </w:p>
    <w:p w14:paraId="71EA522B">
      <w:pPr>
        <w:adjustRightInd w:val="0"/>
        <w:snapToGrid w:val="0"/>
        <w:spacing w:line="440" w:lineRule="exact"/>
        <w:ind w:firstLine="417" w:firstLineChars="199"/>
        <w:rPr>
          <w:szCs w:val="21"/>
        </w:rPr>
      </w:pPr>
      <w:r>
        <w:rPr>
          <w:szCs w:val="21"/>
        </w:rPr>
        <w:t>若被检产品明示的质量要求低于本细则中检验项目依据的强制性标准要求时，应按照强制性标准要求判定。</w:t>
      </w:r>
    </w:p>
    <w:p w14:paraId="309A6891">
      <w:pPr>
        <w:adjustRightInd w:val="0"/>
        <w:snapToGrid w:val="0"/>
        <w:spacing w:line="440" w:lineRule="exact"/>
        <w:ind w:firstLine="417" w:firstLineChars="199"/>
        <w:rPr>
          <w:szCs w:val="21"/>
        </w:rPr>
      </w:pPr>
      <w:r>
        <w:rPr>
          <w:szCs w:val="21"/>
        </w:rPr>
        <w:t>若被检产品明示的质量要求低于或包含本细则中检验项目依据的推荐性标准要求时，应以被检产品明示的质量要求判定。</w:t>
      </w:r>
    </w:p>
    <w:p w14:paraId="57190E48">
      <w:pPr>
        <w:adjustRightInd w:val="0"/>
        <w:snapToGrid w:val="0"/>
        <w:spacing w:line="440" w:lineRule="exact"/>
        <w:ind w:firstLine="417" w:firstLineChars="199"/>
        <w:rPr>
          <w:szCs w:val="21"/>
        </w:rPr>
      </w:pPr>
      <w:r>
        <w:rPr>
          <w:szCs w:val="21"/>
        </w:rPr>
        <w:t>若被检产品明示的质量要求缺少本细则中检验项目依据的强制性标准要求时，应按照强制性标准要求判定。</w:t>
      </w:r>
    </w:p>
    <w:p w14:paraId="7C22CC43">
      <w:pPr>
        <w:adjustRightInd w:val="0"/>
        <w:snapToGrid w:val="0"/>
        <w:spacing w:line="440" w:lineRule="exact"/>
        <w:ind w:firstLine="417" w:firstLineChars="199"/>
        <w:rPr>
          <w:szCs w:val="21"/>
        </w:rPr>
      </w:pPr>
      <w:r>
        <w:rPr>
          <w:szCs w:val="21"/>
        </w:rPr>
        <w:t>若被检产品明示的质量要求缺少本细则中检验项目依据的推荐性标准要求时，该项目不参与判定。</w:t>
      </w:r>
    </w:p>
    <w:sectPr>
      <w:headerReference r:id="rId3" w:type="default"/>
      <w:footerReference r:id="rId4" w:type="default"/>
      <w:pgSz w:w="11906" w:h="16838"/>
      <w:pgMar w:top="1985" w:right="1474" w:bottom="1644" w:left="1474" w:header="851" w:footer="119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姚体">
    <w:panose1 w:val="02010601030101010101"/>
    <w:charset w:val="86"/>
    <w:family w:val="auto"/>
    <w:pitch w:val="default"/>
    <w:sig w:usb0="00000003"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新宋体">
    <w:panose1 w:val="02010609030101010101"/>
    <w:charset w:val="86"/>
    <w:family w:val="auto"/>
    <w:pitch w:val="default"/>
    <w:sig w:usb0="00000203" w:usb1="288F0000" w:usb2="00000006" w:usb3="00000000" w:csb0="00040001" w:csb1="00000000"/>
  </w:font>
  <w:font w:name="幼圆">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A106F">
    <w:pPr>
      <w:pStyle w:val="5"/>
      <w:jc w:val="center"/>
    </w:pPr>
    <w:r>
      <w:rPr>
        <w:lang w:val="zh-CN"/>
      </w:rPr>
      <w:fldChar w:fldCharType="begin"/>
    </w:r>
    <w:r>
      <w:rPr>
        <w:lang w:val="zh-CN"/>
      </w:rPr>
      <w:instrText xml:space="preserve"> PAGE   \* MERGEFORMAT </w:instrText>
    </w:r>
    <w:r>
      <w:rPr>
        <w:lang w:val="zh-CN"/>
      </w:rPr>
      <w:fldChar w:fldCharType="separate"/>
    </w:r>
    <w:r>
      <w:rPr>
        <w:lang/>
      </w:rPr>
      <w:t>6</w:t>
    </w:r>
    <w:r>
      <w:rPr>
        <w:lang w:val="zh-CN"/>
      </w:rPr>
      <w:fldChar w:fldCharType="end"/>
    </w:r>
  </w:p>
  <w:p w14:paraId="766EB601">
    <w:pPr>
      <w:pStyle w:val="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5FA3B">
    <w:pPr>
      <w:ind w:left="560"/>
      <w:jc w:val="right"/>
      <w:rPr>
        <w:rFonts w:hint="eastAsia" w:ascii="黑体" w:hAnsi="黑体" w:eastAsia="黑体"/>
        <w:sz w:val="28"/>
        <w:szCs w:val="28"/>
      </w:rPr>
    </w:pPr>
  </w:p>
  <w:p w14:paraId="5DF24AE2">
    <w:pPr>
      <w:ind w:left="560"/>
      <w:jc w:val="right"/>
      <w:rPr>
        <w:rFonts w:hint="eastAsia" w:ascii="黑体" w:hAnsi="黑体" w:eastAsia="黑体"/>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pStyle w:val="15"/>
      <w:suff w:val="nothing"/>
      <w:lvlText w:val="%1%2　"/>
      <w:lvlJc w:val="left"/>
      <w:pPr>
        <w:ind w:left="210" w:firstLine="0"/>
      </w:pPr>
      <w:rPr>
        <w:rFonts w:hint="eastAsia" w:ascii="黑体" w:hAnsi="Times New Roman" w:eastAsia="黑体"/>
        <w:b w:val="0"/>
        <w:i w:val="0"/>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0NmE0MDNhNGE1ZWM1MGZiMDY4ZjYzNjNjNTYzZWEifQ=="/>
  </w:docVars>
  <w:rsids>
    <w:rsidRoot w:val="00172A27"/>
    <w:rsid w:val="000004A6"/>
    <w:rsid w:val="0002197C"/>
    <w:rsid w:val="00044181"/>
    <w:rsid w:val="00051A44"/>
    <w:rsid w:val="00081CBD"/>
    <w:rsid w:val="000976DE"/>
    <w:rsid w:val="000B6AB8"/>
    <w:rsid w:val="000E3EF3"/>
    <w:rsid w:val="000F6EF1"/>
    <w:rsid w:val="001041FD"/>
    <w:rsid w:val="001141F4"/>
    <w:rsid w:val="00144BFC"/>
    <w:rsid w:val="00161CC9"/>
    <w:rsid w:val="001809DD"/>
    <w:rsid w:val="001A150E"/>
    <w:rsid w:val="001D4738"/>
    <w:rsid w:val="001E297A"/>
    <w:rsid w:val="00253624"/>
    <w:rsid w:val="00292420"/>
    <w:rsid w:val="002B38DA"/>
    <w:rsid w:val="002B7AB9"/>
    <w:rsid w:val="002D7F8A"/>
    <w:rsid w:val="002E0D1D"/>
    <w:rsid w:val="003102FB"/>
    <w:rsid w:val="003203A3"/>
    <w:rsid w:val="003619F5"/>
    <w:rsid w:val="00386728"/>
    <w:rsid w:val="0039794C"/>
    <w:rsid w:val="003B44DD"/>
    <w:rsid w:val="003C388C"/>
    <w:rsid w:val="003E4B35"/>
    <w:rsid w:val="003E61BF"/>
    <w:rsid w:val="00440851"/>
    <w:rsid w:val="00445E86"/>
    <w:rsid w:val="00471BE6"/>
    <w:rsid w:val="00474E04"/>
    <w:rsid w:val="004C0D07"/>
    <w:rsid w:val="004D0C5A"/>
    <w:rsid w:val="004D370C"/>
    <w:rsid w:val="004E1396"/>
    <w:rsid w:val="005255D7"/>
    <w:rsid w:val="00533B94"/>
    <w:rsid w:val="00563EBC"/>
    <w:rsid w:val="00564F4C"/>
    <w:rsid w:val="0058351D"/>
    <w:rsid w:val="005B7ED8"/>
    <w:rsid w:val="005D7187"/>
    <w:rsid w:val="005F2F5E"/>
    <w:rsid w:val="00610555"/>
    <w:rsid w:val="006202FC"/>
    <w:rsid w:val="006369D6"/>
    <w:rsid w:val="00641AFC"/>
    <w:rsid w:val="00693BB1"/>
    <w:rsid w:val="006E0056"/>
    <w:rsid w:val="006F0971"/>
    <w:rsid w:val="00702071"/>
    <w:rsid w:val="0072334C"/>
    <w:rsid w:val="0075488B"/>
    <w:rsid w:val="00754B02"/>
    <w:rsid w:val="00757901"/>
    <w:rsid w:val="00762E2D"/>
    <w:rsid w:val="007863DC"/>
    <w:rsid w:val="007C51AC"/>
    <w:rsid w:val="007D0858"/>
    <w:rsid w:val="008141C1"/>
    <w:rsid w:val="00826E57"/>
    <w:rsid w:val="00845A82"/>
    <w:rsid w:val="00895BEA"/>
    <w:rsid w:val="008A3497"/>
    <w:rsid w:val="008E7DAB"/>
    <w:rsid w:val="008F789C"/>
    <w:rsid w:val="00917A54"/>
    <w:rsid w:val="00944A30"/>
    <w:rsid w:val="009830E2"/>
    <w:rsid w:val="009C5BE7"/>
    <w:rsid w:val="00A00931"/>
    <w:rsid w:val="00A12D5C"/>
    <w:rsid w:val="00A21847"/>
    <w:rsid w:val="00A43553"/>
    <w:rsid w:val="00A609A0"/>
    <w:rsid w:val="00AC7216"/>
    <w:rsid w:val="00AF40C3"/>
    <w:rsid w:val="00B034BB"/>
    <w:rsid w:val="00BE33FE"/>
    <w:rsid w:val="00C26074"/>
    <w:rsid w:val="00C83B0A"/>
    <w:rsid w:val="00CA7DB8"/>
    <w:rsid w:val="00CC33F8"/>
    <w:rsid w:val="00CD1580"/>
    <w:rsid w:val="00CE1E0C"/>
    <w:rsid w:val="00CE277E"/>
    <w:rsid w:val="00D000E0"/>
    <w:rsid w:val="00D365D9"/>
    <w:rsid w:val="00D515BC"/>
    <w:rsid w:val="00D55108"/>
    <w:rsid w:val="00D56867"/>
    <w:rsid w:val="00D66A65"/>
    <w:rsid w:val="00D71EAE"/>
    <w:rsid w:val="00D9197D"/>
    <w:rsid w:val="00DC37F5"/>
    <w:rsid w:val="00E02A7F"/>
    <w:rsid w:val="00E07880"/>
    <w:rsid w:val="00E12124"/>
    <w:rsid w:val="00E35E78"/>
    <w:rsid w:val="00E53EF2"/>
    <w:rsid w:val="00E82621"/>
    <w:rsid w:val="00EA5ED4"/>
    <w:rsid w:val="00F31D8C"/>
    <w:rsid w:val="00F51E9C"/>
    <w:rsid w:val="00F77C9A"/>
    <w:rsid w:val="00FB576C"/>
    <w:rsid w:val="00FC2905"/>
    <w:rsid w:val="00FC5382"/>
    <w:rsid w:val="00FD2AA6"/>
    <w:rsid w:val="00FE39D9"/>
    <w:rsid w:val="00FE7E8A"/>
    <w:rsid w:val="011B6A08"/>
    <w:rsid w:val="01323CE1"/>
    <w:rsid w:val="01FF1E15"/>
    <w:rsid w:val="02AE01CC"/>
    <w:rsid w:val="031C2553"/>
    <w:rsid w:val="04DB4CDB"/>
    <w:rsid w:val="06F553C7"/>
    <w:rsid w:val="08C40B70"/>
    <w:rsid w:val="08F71A98"/>
    <w:rsid w:val="09471A07"/>
    <w:rsid w:val="0A116B8A"/>
    <w:rsid w:val="0A7C2B8A"/>
    <w:rsid w:val="0B9B19E7"/>
    <w:rsid w:val="0CC46135"/>
    <w:rsid w:val="0E320E7D"/>
    <w:rsid w:val="109202F8"/>
    <w:rsid w:val="10E22358"/>
    <w:rsid w:val="123F625E"/>
    <w:rsid w:val="12993BC0"/>
    <w:rsid w:val="130651C0"/>
    <w:rsid w:val="1341655B"/>
    <w:rsid w:val="14203E74"/>
    <w:rsid w:val="14904572"/>
    <w:rsid w:val="15001D0E"/>
    <w:rsid w:val="15891CF7"/>
    <w:rsid w:val="16892B04"/>
    <w:rsid w:val="17DD00AB"/>
    <w:rsid w:val="1B3F68A5"/>
    <w:rsid w:val="1BD263F0"/>
    <w:rsid w:val="1C3F6C7F"/>
    <w:rsid w:val="1DB422BC"/>
    <w:rsid w:val="1ECE699F"/>
    <w:rsid w:val="1F274302"/>
    <w:rsid w:val="20AD0837"/>
    <w:rsid w:val="20D83B05"/>
    <w:rsid w:val="22783080"/>
    <w:rsid w:val="231B27BC"/>
    <w:rsid w:val="23294AEC"/>
    <w:rsid w:val="23874328"/>
    <w:rsid w:val="2400621E"/>
    <w:rsid w:val="24E357D2"/>
    <w:rsid w:val="275D2FB6"/>
    <w:rsid w:val="27814EF7"/>
    <w:rsid w:val="278827D9"/>
    <w:rsid w:val="27AE27D3"/>
    <w:rsid w:val="28EC2844"/>
    <w:rsid w:val="29727E07"/>
    <w:rsid w:val="2A8F0449"/>
    <w:rsid w:val="2C0927BF"/>
    <w:rsid w:val="2E291E44"/>
    <w:rsid w:val="2EFB0BAB"/>
    <w:rsid w:val="30085A89"/>
    <w:rsid w:val="309B4C26"/>
    <w:rsid w:val="310968D2"/>
    <w:rsid w:val="31605B7D"/>
    <w:rsid w:val="31A52F0C"/>
    <w:rsid w:val="3454129D"/>
    <w:rsid w:val="345E3ECA"/>
    <w:rsid w:val="347959B2"/>
    <w:rsid w:val="34944338"/>
    <w:rsid w:val="34C50E66"/>
    <w:rsid w:val="3829574F"/>
    <w:rsid w:val="38AF73EA"/>
    <w:rsid w:val="39E3559D"/>
    <w:rsid w:val="3AAC1E33"/>
    <w:rsid w:val="3BB77A75"/>
    <w:rsid w:val="3BDB4052"/>
    <w:rsid w:val="3C7050E2"/>
    <w:rsid w:val="3D7052A5"/>
    <w:rsid w:val="3DBA18E1"/>
    <w:rsid w:val="3F071892"/>
    <w:rsid w:val="40BD1745"/>
    <w:rsid w:val="41BB32CC"/>
    <w:rsid w:val="41D039E4"/>
    <w:rsid w:val="42F00D2B"/>
    <w:rsid w:val="43DE61FC"/>
    <w:rsid w:val="46C756C1"/>
    <w:rsid w:val="475F6EEB"/>
    <w:rsid w:val="485D651B"/>
    <w:rsid w:val="49F418CB"/>
    <w:rsid w:val="4A486567"/>
    <w:rsid w:val="4A761E4D"/>
    <w:rsid w:val="4A9D52F4"/>
    <w:rsid w:val="4B321C1C"/>
    <w:rsid w:val="4B5005B9"/>
    <w:rsid w:val="4B521147"/>
    <w:rsid w:val="4C5C4178"/>
    <w:rsid w:val="4CD3320D"/>
    <w:rsid w:val="4D447432"/>
    <w:rsid w:val="4D8C2EEA"/>
    <w:rsid w:val="4E27599C"/>
    <w:rsid w:val="4FBF5D0D"/>
    <w:rsid w:val="52ED60A5"/>
    <w:rsid w:val="53104C9F"/>
    <w:rsid w:val="5311062D"/>
    <w:rsid w:val="54A84FC1"/>
    <w:rsid w:val="557F21C6"/>
    <w:rsid w:val="55FC102D"/>
    <w:rsid w:val="570B70C9"/>
    <w:rsid w:val="57482A8C"/>
    <w:rsid w:val="58044C05"/>
    <w:rsid w:val="59A10231"/>
    <w:rsid w:val="5CCE7076"/>
    <w:rsid w:val="5E7B72A3"/>
    <w:rsid w:val="5F9750F4"/>
    <w:rsid w:val="6006326F"/>
    <w:rsid w:val="603161B4"/>
    <w:rsid w:val="606E0AA6"/>
    <w:rsid w:val="63AA239F"/>
    <w:rsid w:val="64B72217"/>
    <w:rsid w:val="65C251A5"/>
    <w:rsid w:val="66683F6E"/>
    <w:rsid w:val="66794320"/>
    <w:rsid w:val="668313EA"/>
    <w:rsid w:val="67C617B5"/>
    <w:rsid w:val="681D3568"/>
    <w:rsid w:val="6AC449B9"/>
    <w:rsid w:val="6ACB0CAE"/>
    <w:rsid w:val="6B3D5917"/>
    <w:rsid w:val="6BC3179D"/>
    <w:rsid w:val="6BC71D79"/>
    <w:rsid w:val="6C890C9A"/>
    <w:rsid w:val="6EC2759C"/>
    <w:rsid w:val="6EC627BC"/>
    <w:rsid w:val="6F5A5D48"/>
    <w:rsid w:val="6FD9375B"/>
    <w:rsid w:val="7040659E"/>
    <w:rsid w:val="71025CA2"/>
    <w:rsid w:val="71F9338B"/>
    <w:rsid w:val="72C14194"/>
    <w:rsid w:val="75D47374"/>
    <w:rsid w:val="760D6F22"/>
    <w:rsid w:val="768A78C8"/>
    <w:rsid w:val="76D474B3"/>
    <w:rsid w:val="77BE6726"/>
    <w:rsid w:val="79077078"/>
    <w:rsid w:val="79980404"/>
    <w:rsid w:val="79AF385A"/>
    <w:rsid w:val="79DB17DE"/>
    <w:rsid w:val="7A590988"/>
    <w:rsid w:val="7B42766E"/>
    <w:rsid w:val="7B776EB0"/>
    <w:rsid w:val="7E6C69CB"/>
    <w:rsid w:val="9B7E301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4"/>
    <w:basedOn w:val="1"/>
    <w:next w:val="1"/>
    <w:qFormat/>
    <w:uiPriority w:val="99"/>
    <w:pPr>
      <w:keepNext/>
      <w:keepLines/>
      <w:outlineLvl w:val="3"/>
    </w:pPr>
    <w:rPr>
      <w:rFonts w:ascii="Arial" w:hAnsi="Arial" w:eastAsia="黑体"/>
      <w:bCs/>
      <w:kern w:val="0"/>
      <w:sz w:val="24"/>
      <w:szCs w:val="28"/>
    </w:rPr>
  </w:style>
  <w:style w:type="character" w:default="1" w:styleId="8">
    <w:name w:val="Default Paragraph Font"/>
    <w:semiHidden/>
    <w:uiPriority w:val="0"/>
  </w:style>
  <w:style w:type="table" w:default="1" w:styleId="7">
    <w:name w:val="Normal Table"/>
    <w:unhideWhenUsed/>
    <w:uiPriority w:val="99"/>
    <w:tblPr>
      <w:tblStyle w:val="7"/>
      <w:tblCellMar>
        <w:top w:w="0" w:type="dxa"/>
        <w:left w:w="108" w:type="dxa"/>
        <w:bottom w:w="0" w:type="dxa"/>
        <w:right w:w="108" w:type="dxa"/>
      </w:tblCellMar>
    </w:tblPr>
  </w:style>
  <w:style w:type="paragraph" w:styleId="3">
    <w:name w:val="annotation text"/>
    <w:basedOn w:val="1"/>
    <w:unhideWhenUsed/>
    <w:uiPriority w:val="99"/>
    <w:pPr>
      <w:jc w:val="left"/>
    </w:pPr>
  </w:style>
  <w:style w:type="paragraph" w:styleId="4">
    <w:name w:val="Balloon Text"/>
    <w:basedOn w:val="1"/>
    <w:link w:val="10"/>
    <w:unhideWhenUsed/>
    <w:uiPriority w:val="99"/>
    <w:rPr>
      <w:sz w:val="18"/>
      <w:szCs w:val="18"/>
    </w:rPr>
  </w:style>
  <w:style w:type="paragraph" w:styleId="5">
    <w:name w:val="footer"/>
    <w:basedOn w:val="1"/>
    <w:link w:val="11"/>
    <w:unhideWhenUsed/>
    <w:uiPriority w:val="99"/>
    <w:pPr>
      <w:tabs>
        <w:tab w:val="center" w:pos="4153"/>
        <w:tab w:val="right" w:pos="8306"/>
      </w:tabs>
      <w:snapToGrid w:val="0"/>
      <w:jc w:val="left"/>
    </w:pPr>
    <w:rPr>
      <w:sz w:val="18"/>
      <w:szCs w:val="18"/>
    </w:rPr>
  </w:style>
  <w:style w:type="paragraph" w:styleId="6">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character" w:styleId="9">
    <w:name w:val="page number"/>
    <w:uiPriority w:val="0"/>
  </w:style>
  <w:style w:type="character" w:customStyle="1" w:styleId="10">
    <w:name w:val="批注框文本 字符"/>
    <w:link w:val="4"/>
    <w:semiHidden/>
    <w:uiPriority w:val="99"/>
    <w:rPr>
      <w:kern w:val="2"/>
      <w:sz w:val="18"/>
      <w:szCs w:val="18"/>
    </w:rPr>
  </w:style>
  <w:style w:type="character" w:customStyle="1" w:styleId="11">
    <w:name w:val="页脚 字符"/>
    <w:link w:val="5"/>
    <w:uiPriority w:val="99"/>
    <w:rPr>
      <w:kern w:val="2"/>
      <w:sz w:val="18"/>
      <w:szCs w:val="18"/>
    </w:rPr>
  </w:style>
  <w:style w:type="character" w:customStyle="1" w:styleId="12">
    <w:name w:val="页眉 字符"/>
    <w:link w:val="6"/>
    <w:semiHidden/>
    <w:uiPriority w:val="99"/>
    <w:rPr>
      <w:kern w:val="2"/>
      <w:sz w:val="18"/>
      <w:szCs w:val="18"/>
    </w:rPr>
  </w:style>
  <w:style w:type="paragraph" w:customStyle="1" w:styleId="13">
    <w:name w:val="列出段落1"/>
    <w:basedOn w:val="1"/>
    <w:qFormat/>
    <w:uiPriority w:val="34"/>
    <w:pPr>
      <w:ind w:firstLine="420" w:firstLineChars="200"/>
    </w:pPr>
    <w:rPr>
      <w:rFonts w:ascii="Calibri" w:hAnsi="Calibri"/>
      <w:szCs w:val="22"/>
    </w:rPr>
  </w:style>
  <w:style w:type="paragraph" w:styleId="14">
    <w:name w:val=""/>
    <w:unhideWhenUsed/>
    <w:uiPriority w:val="99"/>
    <w:rPr>
      <w:kern w:val="2"/>
      <w:sz w:val="21"/>
      <w:szCs w:val="24"/>
      <w:lang w:val="en-US" w:eastAsia="zh-CN" w:bidi="ar-SA"/>
    </w:rPr>
  </w:style>
  <w:style w:type="paragraph" w:customStyle="1" w:styleId="15">
    <w:name w:val="章标题"/>
    <w:next w:val="1"/>
    <w:uiPriority w:val="0"/>
    <w:pPr>
      <w:numPr>
        <w:ilvl w:val="1"/>
        <w:numId w:val="1"/>
      </w:numPr>
      <w:spacing w:beforeLines="50" w:afterLines="50"/>
      <w:jc w:val="both"/>
      <w:outlineLvl w:val="1"/>
    </w:pPr>
    <w:rPr>
      <w:rFonts w:ascii="黑体" w:eastAsia="黑体"/>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Legend (Beijing) Limited</Company>
  <Pages>2</Pages>
  <Words>1870</Words>
  <Characters>4472</Characters>
  <Lines>38</Lines>
  <Paragraphs>10</Paragraphs>
  <TotalTime>2</TotalTime>
  <ScaleCrop>false</ScaleCrop>
  <LinksUpToDate>false</LinksUpToDate>
  <CharactersWithSpaces>4737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2004-08-07T03:45:00Z</dcterms:created>
  <dc:creator>Legend User</dc:creator>
  <cp:lastModifiedBy>孟德光</cp:lastModifiedBy>
  <cp:lastPrinted>2026-04-14T10:02:00Z</cp:lastPrinted>
  <dcterms:modified xsi:type="dcterms:W3CDTF">2026-06-22T08:57:06Z</dcterms:modified>
  <dc:title>××产品质量监督抽查实施细则</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E4479F7E8D02468D8DF6059B0E99F5C3_13</vt:lpwstr>
  </property>
  <property fmtid="{D5CDD505-2E9C-101B-9397-08002B2CF9AE}" pid="4" name="KSOTemplateDocerSaveRecord">
    <vt:lpwstr>eyJoZGlkIjoiMGQ0YjkyNGYxMWViY2M0OTE3NWM2YTJlN2EzYWU5NTQiLCJ1c2VySWQiOiI0NDY1MTIzMjkifQ==</vt:lpwstr>
  </property>
</Properties>
</file>