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45D3F">
      <w:pPr>
        <w:rPr>
          <w:rFonts w:hint="eastAsia" w:ascii="方正小标宋简体" w:eastAsia="方正小标宋简体"/>
          <w:sz w:val="36"/>
          <w:szCs w:val="36"/>
        </w:rPr>
      </w:pPr>
      <w:r>
        <w:rPr>
          <w:rFonts w:hint="eastAsia"/>
        </w:rPr>
        <w:t xml:space="preserve">                               </w:t>
      </w:r>
      <w:r>
        <w:rPr>
          <w:rFonts w:hint="eastAsia" w:ascii="方正小标宋简体" w:eastAsia="方正小标宋简体"/>
          <w:sz w:val="36"/>
          <w:szCs w:val="36"/>
        </w:rPr>
        <w:t xml:space="preserve"> 202</w:t>
      </w:r>
      <w:r>
        <w:rPr>
          <w:rFonts w:hint="eastAsia" w:ascii="方正小标宋简体" w:eastAsia="方正小标宋简体"/>
          <w:sz w:val="36"/>
          <w:szCs w:val="36"/>
          <w:lang w:val="en-US" w:eastAsia="zh-CN"/>
        </w:rPr>
        <w:t>5</w:t>
      </w:r>
      <w:r>
        <w:rPr>
          <w:rFonts w:hint="eastAsia" w:ascii="方正小标宋简体" w:eastAsia="方正小标宋简体"/>
          <w:sz w:val="36"/>
          <w:szCs w:val="36"/>
        </w:rPr>
        <w:t>年</w:t>
      </w:r>
      <w:r>
        <w:rPr>
          <w:rFonts w:hint="eastAsia" w:ascii="方正小标宋简体" w:eastAsia="方正小标宋简体"/>
          <w:sz w:val="36"/>
          <w:szCs w:val="36"/>
          <w:lang w:val="en-US" w:eastAsia="zh-CN"/>
        </w:rPr>
        <w:t>食品生产经营</w:t>
      </w:r>
      <w:r>
        <w:rPr>
          <w:rFonts w:hint="eastAsia" w:ascii="方正小标宋简体" w:eastAsia="方正小标宋简体"/>
          <w:sz w:val="36"/>
          <w:szCs w:val="36"/>
        </w:rPr>
        <w:t>行政处罚案件信息公示</w:t>
      </w:r>
    </w:p>
    <w:p w14:paraId="62EFF0BD">
      <w:pPr>
        <w:rPr>
          <w:rFonts w:hint="eastAsia"/>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75"/>
        <w:gridCol w:w="3828"/>
        <w:gridCol w:w="6193"/>
        <w:gridCol w:w="1319"/>
        <w:gridCol w:w="1481"/>
        <w:gridCol w:w="504"/>
      </w:tblGrid>
      <w:tr w14:paraId="23AD6F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30F0A51C">
            <w:pPr>
              <w:jc w:val="center"/>
              <w:rPr>
                <w:rFonts w:hint="eastAsia" w:ascii="方正小标宋简体" w:eastAsia="方正小标宋简体"/>
                <w:szCs w:val="21"/>
              </w:rPr>
            </w:pPr>
            <w:r>
              <w:rPr>
                <w:rFonts w:hint="eastAsia" w:ascii="方正小标宋简体" w:eastAsia="方正小标宋简体"/>
                <w:szCs w:val="21"/>
              </w:rPr>
              <w:t>序号</w:t>
            </w:r>
          </w:p>
        </w:tc>
        <w:tc>
          <w:tcPr>
            <w:tcW w:w="3828" w:type="dxa"/>
            <w:vAlign w:val="center"/>
          </w:tcPr>
          <w:p w14:paraId="116D3D1E">
            <w:pPr>
              <w:jc w:val="center"/>
              <w:rPr>
                <w:rFonts w:hint="eastAsia" w:ascii="方正小标宋简体" w:eastAsia="方正小标宋简体"/>
                <w:szCs w:val="21"/>
              </w:rPr>
            </w:pPr>
            <w:r>
              <w:rPr>
                <w:rFonts w:hint="eastAsia" w:ascii="方正小标宋简体" w:eastAsia="方正小标宋简体"/>
                <w:szCs w:val="21"/>
              </w:rPr>
              <w:t>单位名称</w:t>
            </w:r>
          </w:p>
        </w:tc>
        <w:tc>
          <w:tcPr>
            <w:tcW w:w="6193" w:type="dxa"/>
            <w:vAlign w:val="center"/>
          </w:tcPr>
          <w:p w14:paraId="6472D647">
            <w:pPr>
              <w:jc w:val="center"/>
              <w:rPr>
                <w:rFonts w:hint="eastAsia" w:ascii="方正小标宋简体" w:eastAsia="方正小标宋简体"/>
                <w:szCs w:val="21"/>
              </w:rPr>
            </w:pPr>
            <w:r>
              <w:rPr>
                <w:rFonts w:hint="eastAsia" w:ascii="方正小标宋简体" w:eastAsia="方正小标宋简体"/>
                <w:szCs w:val="21"/>
              </w:rPr>
              <w:t>案件名称</w:t>
            </w:r>
          </w:p>
        </w:tc>
        <w:tc>
          <w:tcPr>
            <w:tcW w:w="1319" w:type="dxa"/>
            <w:vAlign w:val="center"/>
          </w:tcPr>
          <w:p w14:paraId="6BD9C995">
            <w:pPr>
              <w:jc w:val="center"/>
              <w:rPr>
                <w:rFonts w:hint="eastAsia" w:ascii="方正小标宋简体" w:eastAsia="方正小标宋简体"/>
                <w:szCs w:val="21"/>
              </w:rPr>
            </w:pPr>
            <w:r>
              <w:rPr>
                <w:rFonts w:hint="eastAsia" w:ascii="方正小标宋简体" w:eastAsia="方正小标宋简体"/>
                <w:szCs w:val="21"/>
              </w:rPr>
              <w:t>罚没额</w:t>
            </w:r>
          </w:p>
          <w:p w14:paraId="6979C996">
            <w:pPr>
              <w:jc w:val="center"/>
              <w:rPr>
                <w:rFonts w:hint="eastAsia" w:ascii="方正小标宋简体" w:eastAsia="方正小标宋简体"/>
                <w:szCs w:val="21"/>
              </w:rPr>
            </w:pPr>
            <w:r>
              <w:rPr>
                <w:rFonts w:hint="eastAsia" w:ascii="方正小标宋简体" w:eastAsia="方正小标宋简体"/>
                <w:sz w:val="18"/>
                <w:szCs w:val="18"/>
              </w:rPr>
              <w:t>（万元）</w:t>
            </w:r>
          </w:p>
        </w:tc>
        <w:tc>
          <w:tcPr>
            <w:tcW w:w="1481" w:type="dxa"/>
            <w:vAlign w:val="center"/>
          </w:tcPr>
          <w:p w14:paraId="7B0BAD14">
            <w:pPr>
              <w:jc w:val="center"/>
              <w:rPr>
                <w:rFonts w:hint="eastAsia" w:ascii="方正小标宋简体" w:eastAsia="方正小标宋简体"/>
                <w:szCs w:val="21"/>
              </w:rPr>
            </w:pPr>
            <w:r>
              <w:rPr>
                <w:rFonts w:hint="eastAsia" w:ascii="方正小标宋简体" w:eastAsia="方正小标宋简体"/>
                <w:szCs w:val="21"/>
              </w:rPr>
              <w:t>行政处罚</w:t>
            </w:r>
          </w:p>
          <w:p w14:paraId="11CEA4ED">
            <w:pPr>
              <w:jc w:val="center"/>
              <w:rPr>
                <w:rFonts w:hint="eastAsia" w:ascii="方正小标宋简体" w:eastAsia="方正小标宋简体"/>
                <w:szCs w:val="21"/>
              </w:rPr>
            </w:pPr>
            <w:r>
              <w:rPr>
                <w:rFonts w:hint="eastAsia" w:ascii="方正小标宋简体" w:eastAsia="方正小标宋简体"/>
                <w:szCs w:val="21"/>
              </w:rPr>
              <w:t>决定日期</w:t>
            </w:r>
          </w:p>
        </w:tc>
        <w:tc>
          <w:tcPr>
            <w:tcW w:w="504" w:type="dxa"/>
            <w:vAlign w:val="center"/>
          </w:tcPr>
          <w:p w14:paraId="3D03F86E">
            <w:pPr>
              <w:jc w:val="center"/>
              <w:rPr>
                <w:rFonts w:hint="eastAsia" w:ascii="方正小标宋简体" w:eastAsia="方正小标宋简体"/>
                <w:szCs w:val="21"/>
              </w:rPr>
            </w:pPr>
            <w:r>
              <w:rPr>
                <w:rFonts w:hint="eastAsia" w:ascii="方正小标宋简体" w:eastAsia="方正小标宋简体"/>
                <w:szCs w:val="21"/>
              </w:rPr>
              <w:t>备注</w:t>
            </w:r>
          </w:p>
        </w:tc>
      </w:tr>
      <w:tr w14:paraId="37FF31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6DD1147F">
            <w:pPr>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3828" w:type="dxa"/>
            <w:vAlign w:val="center"/>
          </w:tcPr>
          <w:p w14:paraId="34A38E6B">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olor w:val="000000"/>
                <w:kern w:val="0"/>
                <w:sz w:val="24"/>
                <w:szCs w:val="24"/>
                <w:u w:val="none"/>
                <w:lang w:val="en-US" w:eastAsia="zh-CN" w:bidi="ar"/>
              </w:rPr>
              <w:t>辽宁华联商厦有限公司超市站前店</w:t>
            </w:r>
          </w:p>
        </w:tc>
        <w:tc>
          <w:tcPr>
            <w:tcW w:w="6193" w:type="dxa"/>
            <w:shd w:val="clear" w:color="auto" w:fill="auto"/>
            <w:vAlign w:val="center"/>
          </w:tcPr>
          <w:p w14:paraId="019B7893">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辽宁华联商厦有限公司超市站前店经营超限量使用食品添加剂二氧化硫的腐竹案</w:t>
            </w:r>
          </w:p>
        </w:tc>
        <w:tc>
          <w:tcPr>
            <w:tcW w:w="1319" w:type="dxa"/>
            <w:shd w:val="clear" w:color="auto" w:fill="auto"/>
            <w:vAlign w:val="center"/>
          </w:tcPr>
          <w:p w14:paraId="5E383386">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1.012728</w:t>
            </w:r>
          </w:p>
        </w:tc>
        <w:tc>
          <w:tcPr>
            <w:tcW w:w="1481" w:type="dxa"/>
            <w:shd w:val="clear" w:color="auto" w:fill="auto"/>
            <w:vAlign w:val="center"/>
          </w:tcPr>
          <w:p w14:paraId="53439E4B">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2025.8.7</w:t>
            </w:r>
          </w:p>
        </w:tc>
        <w:tc>
          <w:tcPr>
            <w:tcW w:w="504" w:type="dxa"/>
          </w:tcPr>
          <w:p w14:paraId="0F09A982">
            <w:pPr>
              <w:rPr>
                <w:rFonts w:hint="eastAsia" w:ascii="仿宋" w:hAnsi="仿宋" w:eastAsia="仿宋" w:cs="仿宋"/>
                <w:color w:val="000000" w:themeColor="text1"/>
                <w:szCs w:val="21"/>
                <w14:textFill>
                  <w14:solidFill>
                    <w14:schemeClr w14:val="tx1"/>
                  </w14:solidFill>
                </w14:textFill>
              </w:rPr>
            </w:pPr>
          </w:p>
        </w:tc>
      </w:tr>
      <w:tr w14:paraId="50AD3E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65CDCCFA">
            <w:pPr>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w:t>
            </w:r>
          </w:p>
        </w:tc>
        <w:tc>
          <w:tcPr>
            <w:tcW w:w="3828" w:type="dxa"/>
            <w:vAlign w:val="center"/>
          </w:tcPr>
          <w:p w14:paraId="17A3DD18">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olor w:val="000000"/>
                <w:kern w:val="0"/>
                <w:sz w:val="24"/>
                <w:szCs w:val="24"/>
                <w:u w:val="none"/>
                <w:lang w:val="en-US" w:eastAsia="zh-CN" w:bidi="ar"/>
              </w:rPr>
              <w:t>本溪市溪光食品有限公司</w:t>
            </w:r>
          </w:p>
        </w:tc>
        <w:tc>
          <w:tcPr>
            <w:tcW w:w="6193" w:type="dxa"/>
            <w:shd w:val="clear" w:color="auto" w:fill="auto"/>
            <w:vAlign w:val="center"/>
          </w:tcPr>
          <w:p w14:paraId="43AE3A8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本溪市溪光食品有限公司生产经营不符合食品安全国家标准的食品案</w:t>
            </w:r>
          </w:p>
        </w:tc>
        <w:tc>
          <w:tcPr>
            <w:tcW w:w="1319" w:type="dxa"/>
            <w:shd w:val="clear" w:color="auto" w:fill="auto"/>
            <w:vAlign w:val="center"/>
          </w:tcPr>
          <w:p w14:paraId="2484AE2F">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1.0018</w:t>
            </w:r>
          </w:p>
        </w:tc>
        <w:tc>
          <w:tcPr>
            <w:tcW w:w="1481" w:type="dxa"/>
            <w:shd w:val="clear" w:color="auto" w:fill="auto"/>
            <w:vAlign w:val="center"/>
          </w:tcPr>
          <w:p w14:paraId="19FF192F">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2025.9.3</w:t>
            </w:r>
          </w:p>
        </w:tc>
        <w:tc>
          <w:tcPr>
            <w:tcW w:w="504" w:type="dxa"/>
          </w:tcPr>
          <w:p w14:paraId="535C54DB">
            <w:pPr>
              <w:rPr>
                <w:rFonts w:hint="eastAsia" w:ascii="仿宋" w:hAnsi="仿宋" w:eastAsia="仿宋" w:cs="仿宋"/>
                <w:color w:val="000000" w:themeColor="text1"/>
                <w:szCs w:val="21"/>
                <w14:textFill>
                  <w14:solidFill>
                    <w14:schemeClr w14:val="tx1"/>
                  </w14:solidFill>
                </w14:textFill>
              </w:rPr>
            </w:pPr>
          </w:p>
        </w:tc>
      </w:tr>
      <w:tr w14:paraId="16DF1F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003B369B">
            <w:pPr>
              <w:jc w:val="center"/>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w:t>
            </w:r>
          </w:p>
        </w:tc>
        <w:tc>
          <w:tcPr>
            <w:tcW w:w="3828" w:type="dxa"/>
            <w:vAlign w:val="center"/>
          </w:tcPr>
          <w:p w14:paraId="5B4AA90A">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本溪双惠生鲜连锁管理有限公司</w:t>
            </w:r>
          </w:p>
        </w:tc>
        <w:tc>
          <w:tcPr>
            <w:tcW w:w="6193" w:type="dxa"/>
            <w:shd w:val="clear" w:color="auto" w:fill="auto"/>
            <w:vAlign w:val="center"/>
          </w:tcPr>
          <w:p w14:paraId="2367998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本溪双惠生鲜连锁管理有限公司未按规定建立进货查验记录及未按责任制要求落实食品安全责任案</w:t>
            </w:r>
          </w:p>
        </w:tc>
        <w:tc>
          <w:tcPr>
            <w:tcW w:w="1319" w:type="dxa"/>
            <w:shd w:val="clear" w:color="auto" w:fill="auto"/>
            <w:vAlign w:val="center"/>
          </w:tcPr>
          <w:p w14:paraId="151334E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w:t>
            </w:r>
          </w:p>
        </w:tc>
        <w:tc>
          <w:tcPr>
            <w:tcW w:w="1481" w:type="dxa"/>
            <w:shd w:val="clear" w:color="auto" w:fill="auto"/>
            <w:vAlign w:val="center"/>
          </w:tcPr>
          <w:p w14:paraId="3B2C074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2025.9.9</w:t>
            </w:r>
          </w:p>
        </w:tc>
        <w:tc>
          <w:tcPr>
            <w:tcW w:w="504" w:type="dxa"/>
          </w:tcPr>
          <w:p w14:paraId="0FAF517D">
            <w:pPr>
              <w:rPr>
                <w:rFonts w:hint="eastAsia" w:ascii="仿宋" w:hAnsi="仿宋" w:eastAsia="仿宋" w:cs="仿宋"/>
                <w:color w:val="000000" w:themeColor="text1"/>
                <w:szCs w:val="21"/>
                <w14:textFill>
                  <w14:solidFill>
                    <w14:schemeClr w14:val="tx1"/>
                  </w14:solidFill>
                </w14:textFill>
              </w:rPr>
            </w:pPr>
          </w:p>
        </w:tc>
      </w:tr>
      <w:tr w14:paraId="170D52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1F3434F0">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4</w:t>
            </w:r>
          </w:p>
        </w:tc>
        <w:tc>
          <w:tcPr>
            <w:tcW w:w="3828" w:type="dxa"/>
            <w:vAlign w:val="center"/>
          </w:tcPr>
          <w:p w14:paraId="4D22C701">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本溪满族自治县辽溪禾合食品有限公司</w:t>
            </w:r>
          </w:p>
        </w:tc>
        <w:tc>
          <w:tcPr>
            <w:tcW w:w="6193" w:type="dxa"/>
            <w:shd w:val="clear" w:color="auto" w:fill="auto"/>
            <w:vAlign w:val="center"/>
          </w:tcPr>
          <w:p w14:paraId="5B457113">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本溪满族自治县辽溪禾合食品有限公司生产销售超范围使用食品添加剂的汤子面案</w:t>
            </w:r>
          </w:p>
        </w:tc>
        <w:tc>
          <w:tcPr>
            <w:tcW w:w="1319" w:type="dxa"/>
            <w:shd w:val="clear" w:color="auto" w:fill="auto"/>
            <w:vAlign w:val="center"/>
          </w:tcPr>
          <w:p w14:paraId="25E7565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1.0036</w:t>
            </w:r>
          </w:p>
        </w:tc>
        <w:tc>
          <w:tcPr>
            <w:tcW w:w="1481" w:type="dxa"/>
            <w:shd w:val="clear" w:color="auto" w:fill="auto"/>
            <w:vAlign w:val="center"/>
          </w:tcPr>
          <w:p w14:paraId="443E0BA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2025.10.15</w:t>
            </w:r>
          </w:p>
        </w:tc>
        <w:tc>
          <w:tcPr>
            <w:tcW w:w="504" w:type="dxa"/>
          </w:tcPr>
          <w:p w14:paraId="459244C5">
            <w:pPr>
              <w:rPr>
                <w:rFonts w:hint="eastAsia" w:ascii="仿宋" w:hAnsi="仿宋" w:eastAsia="仿宋" w:cs="仿宋"/>
                <w:color w:val="000000" w:themeColor="text1"/>
                <w:szCs w:val="21"/>
                <w14:textFill>
                  <w14:solidFill>
                    <w14:schemeClr w14:val="tx1"/>
                  </w14:solidFill>
                </w14:textFill>
              </w:rPr>
            </w:pPr>
          </w:p>
        </w:tc>
      </w:tr>
      <w:tr w14:paraId="27E3E0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296C2C3C">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5</w:t>
            </w:r>
          </w:p>
        </w:tc>
        <w:tc>
          <w:tcPr>
            <w:tcW w:w="3828" w:type="dxa"/>
            <w:vAlign w:val="center"/>
          </w:tcPr>
          <w:p w14:paraId="4B5B07DD">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本溪森澳山葡萄酒有限公司</w:t>
            </w:r>
          </w:p>
        </w:tc>
        <w:tc>
          <w:tcPr>
            <w:tcW w:w="6193" w:type="dxa"/>
            <w:shd w:val="clear" w:color="auto" w:fill="auto"/>
            <w:vAlign w:val="center"/>
          </w:tcPr>
          <w:p w14:paraId="16D21F51">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本溪森澳山葡萄酒有限公司生产经营超范围使用食品添加剂三氯蔗糖的葡萄酒案</w:t>
            </w:r>
          </w:p>
        </w:tc>
        <w:tc>
          <w:tcPr>
            <w:tcW w:w="1319" w:type="dxa"/>
            <w:shd w:val="clear" w:color="auto" w:fill="auto"/>
            <w:vAlign w:val="center"/>
          </w:tcPr>
          <w:p w14:paraId="4EB1DDA8">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0.5696</w:t>
            </w:r>
          </w:p>
        </w:tc>
        <w:tc>
          <w:tcPr>
            <w:tcW w:w="1481" w:type="dxa"/>
            <w:shd w:val="clear" w:color="auto" w:fill="auto"/>
            <w:vAlign w:val="center"/>
          </w:tcPr>
          <w:p w14:paraId="7E86CB3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2025.10.23</w:t>
            </w:r>
          </w:p>
        </w:tc>
        <w:tc>
          <w:tcPr>
            <w:tcW w:w="504" w:type="dxa"/>
          </w:tcPr>
          <w:p w14:paraId="139AD3AB">
            <w:pPr>
              <w:rPr>
                <w:rFonts w:hint="eastAsia" w:ascii="仿宋" w:hAnsi="仿宋" w:eastAsia="仿宋" w:cs="仿宋"/>
                <w:color w:val="000000" w:themeColor="text1"/>
                <w:szCs w:val="21"/>
                <w14:textFill>
                  <w14:solidFill>
                    <w14:schemeClr w14:val="tx1"/>
                  </w14:solidFill>
                </w14:textFill>
              </w:rPr>
            </w:pPr>
          </w:p>
        </w:tc>
      </w:tr>
      <w:tr w14:paraId="4946AB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6B68CC1E">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6</w:t>
            </w:r>
          </w:p>
        </w:tc>
        <w:tc>
          <w:tcPr>
            <w:tcW w:w="3828" w:type="dxa"/>
            <w:vAlign w:val="center"/>
          </w:tcPr>
          <w:p w14:paraId="2D056190">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平山区大飞鱼生鲜食品店（个体工商户）</w:t>
            </w:r>
          </w:p>
        </w:tc>
        <w:tc>
          <w:tcPr>
            <w:tcW w:w="6193" w:type="dxa"/>
            <w:shd w:val="clear" w:color="auto" w:fill="auto"/>
            <w:vAlign w:val="center"/>
          </w:tcPr>
          <w:p w14:paraId="757C64C2">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平山区大飞鱼生鲜食品店（个体工商户）经营重金属镉含量超过食品安全标准限量的虾爬子案</w:t>
            </w:r>
          </w:p>
        </w:tc>
        <w:tc>
          <w:tcPr>
            <w:tcW w:w="1319" w:type="dxa"/>
            <w:shd w:val="clear" w:color="auto" w:fill="auto"/>
            <w:vAlign w:val="center"/>
          </w:tcPr>
          <w:p w14:paraId="0AA0977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0.269</w:t>
            </w:r>
          </w:p>
        </w:tc>
        <w:tc>
          <w:tcPr>
            <w:tcW w:w="1481" w:type="dxa"/>
            <w:shd w:val="clear" w:color="auto" w:fill="auto"/>
            <w:vAlign w:val="center"/>
          </w:tcPr>
          <w:p w14:paraId="38C3B818">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2025.11.5</w:t>
            </w:r>
          </w:p>
        </w:tc>
        <w:tc>
          <w:tcPr>
            <w:tcW w:w="504" w:type="dxa"/>
          </w:tcPr>
          <w:p w14:paraId="29F8C804">
            <w:pPr>
              <w:rPr>
                <w:rFonts w:hint="eastAsia" w:ascii="仿宋" w:hAnsi="仿宋" w:eastAsia="仿宋" w:cs="仿宋"/>
                <w:color w:val="000000" w:themeColor="text1"/>
                <w:szCs w:val="21"/>
                <w14:textFill>
                  <w14:solidFill>
                    <w14:schemeClr w14:val="tx1"/>
                  </w14:solidFill>
                </w14:textFill>
              </w:rPr>
            </w:pPr>
          </w:p>
        </w:tc>
      </w:tr>
      <w:tr w14:paraId="519A00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69F2586F">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7</w:t>
            </w:r>
          </w:p>
        </w:tc>
        <w:tc>
          <w:tcPr>
            <w:tcW w:w="3828" w:type="dxa"/>
            <w:vAlign w:val="center"/>
          </w:tcPr>
          <w:p w14:paraId="24183929">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明山区淡糕不错面食店</w:t>
            </w:r>
          </w:p>
        </w:tc>
        <w:tc>
          <w:tcPr>
            <w:tcW w:w="6193" w:type="dxa"/>
            <w:shd w:val="clear" w:color="auto" w:fill="auto"/>
            <w:vAlign w:val="center"/>
          </w:tcPr>
          <w:p w14:paraId="7388E19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明山区淡糕不错面食店生产销售超范围使用食品添加剂的红枣红糖馒头案</w:t>
            </w:r>
          </w:p>
        </w:tc>
        <w:tc>
          <w:tcPr>
            <w:tcW w:w="1319" w:type="dxa"/>
            <w:shd w:val="clear" w:color="auto" w:fill="auto"/>
            <w:vAlign w:val="center"/>
          </w:tcPr>
          <w:p w14:paraId="2E778FD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0.0078</w:t>
            </w:r>
          </w:p>
        </w:tc>
        <w:tc>
          <w:tcPr>
            <w:tcW w:w="1481" w:type="dxa"/>
            <w:shd w:val="clear" w:color="auto" w:fill="auto"/>
            <w:vAlign w:val="center"/>
          </w:tcPr>
          <w:p w14:paraId="418AD53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2025.11.10</w:t>
            </w:r>
          </w:p>
        </w:tc>
        <w:tc>
          <w:tcPr>
            <w:tcW w:w="504" w:type="dxa"/>
          </w:tcPr>
          <w:p w14:paraId="3CF409A9">
            <w:pPr>
              <w:rPr>
                <w:rFonts w:hint="eastAsia" w:ascii="仿宋" w:hAnsi="仿宋" w:eastAsia="仿宋" w:cs="仿宋"/>
                <w:color w:val="000000" w:themeColor="text1"/>
                <w:szCs w:val="21"/>
                <w14:textFill>
                  <w14:solidFill>
                    <w14:schemeClr w14:val="tx1"/>
                  </w14:solidFill>
                </w14:textFill>
              </w:rPr>
            </w:pPr>
          </w:p>
        </w:tc>
      </w:tr>
      <w:tr w14:paraId="634284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0D2173C1">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8</w:t>
            </w:r>
          </w:p>
        </w:tc>
        <w:tc>
          <w:tcPr>
            <w:tcW w:w="3828" w:type="dxa"/>
            <w:vAlign w:val="center"/>
          </w:tcPr>
          <w:p w14:paraId="20943552">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辽宁寨香生态农业股份有限公司</w:t>
            </w:r>
          </w:p>
        </w:tc>
        <w:tc>
          <w:tcPr>
            <w:tcW w:w="6193" w:type="dxa"/>
            <w:shd w:val="clear" w:color="auto" w:fill="auto"/>
            <w:vAlign w:val="center"/>
          </w:tcPr>
          <w:p w14:paraId="70622993">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辽宁寨香生态农业股份有限公司生产经营霉菌项目不符合食品安全国家标准的黑五宝糙米糊案</w:t>
            </w:r>
          </w:p>
        </w:tc>
        <w:tc>
          <w:tcPr>
            <w:tcW w:w="1319" w:type="dxa"/>
            <w:shd w:val="clear" w:color="auto" w:fill="auto"/>
            <w:vAlign w:val="center"/>
          </w:tcPr>
          <w:p w14:paraId="6503CD0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1.008</w:t>
            </w:r>
          </w:p>
        </w:tc>
        <w:tc>
          <w:tcPr>
            <w:tcW w:w="1481" w:type="dxa"/>
            <w:shd w:val="clear" w:color="auto" w:fill="auto"/>
            <w:vAlign w:val="center"/>
          </w:tcPr>
          <w:p w14:paraId="2EA9E63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2025.11.26</w:t>
            </w:r>
          </w:p>
        </w:tc>
        <w:tc>
          <w:tcPr>
            <w:tcW w:w="504" w:type="dxa"/>
          </w:tcPr>
          <w:p w14:paraId="168929D4">
            <w:pPr>
              <w:rPr>
                <w:rFonts w:hint="eastAsia" w:ascii="仿宋" w:hAnsi="仿宋" w:eastAsia="仿宋" w:cs="仿宋"/>
                <w:color w:val="000000" w:themeColor="text1"/>
                <w:szCs w:val="21"/>
                <w14:textFill>
                  <w14:solidFill>
                    <w14:schemeClr w14:val="tx1"/>
                  </w14:solidFill>
                </w14:textFill>
              </w:rPr>
            </w:pPr>
          </w:p>
        </w:tc>
      </w:tr>
      <w:tr w14:paraId="115A5F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12A8EE69">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9</w:t>
            </w:r>
          </w:p>
        </w:tc>
        <w:tc>
          <w:tcPr>
            <w:tcW w:w="3828" w:type="dxa"/>
            <w:vAlign w:val="center"/>
          </w:tcPr>
          <w:p w14:paraId="6391A463">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桓仁福民鹏利多生鲜超市</w:t>
            </w:r>
          </w:p>
        </w:tc>
        <w:tc>
          <w:tcPr>
            <w:tcW w:w="6193" w:type="dxa"/>
            <w:shd w:val="clear" w:color="auto" w:fill="auto"/>
            <w:vAlign w:val="center"/>
          </w:tcPr>
          <w:p w14:paraId="4A5420D5">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桓仁福民鹏利多生鲜超市经营二氧化硫残留量项目不符合食品安全国家标准的食品案</w:t>
            </w:r>
          </w:p>
        </w:tc>
        <w:tc>
          <w:tcPr>
            <w:tcW w:w="1319" w:type="dxa"/>
            <w:shd w:val="clear" w:color="auto" w:fill="auto"/>
            <w:vAlign w:val="center"/>
          </w:tcPr>
          <w:p w14:paraId="7C0449D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0.4216</w:t>
            </w:r>
          </w:p>
        </w:tc>
        <w:tc>
          <w:tcPr>
            <w:tcW w:w="1481" w:type="dxa"/>
            <w:shd w:val="clear" w:color="auto" w:fill="auto"/>
            <w:vAlign w:val="center"/>
          </w:tcPr>
          <w:p w14:paraId="2B195CD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2025.12.22</w:t>
            </w:r>
          </w:p>
        </w:tc>
        <w:tc>
          <w:tcPr>
            <w:tcW w:w="504" w:type="dxa"/>
          </w:tcPr>
          <w:p w14:paraId="510FD473">
            <w:pPr>
              <w:rPr>
                <w:rFonts w:hint="eastAsia" w:ascii="仿宋" w:hAnsi="仿宋" w:eastAsia="仿宋" w:cs="仿宋"/>
                <w:color w:val="000000" w:themeColor="text1"/>
                <w:szCs w:val="21"/>
                <w14:textFill>
                  <w14:solidFill>
                    <w14:schemeClr w14:val="tx1"/>
                  </w14:solidFill>
                </w14:textFill>
              </w:rPr>
            </w:pPr>
          </w:p>
        </w:tc>
      </w:tr>
      <w:tr w14:paraId="33ED3E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0FF2E068">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10</w:t>
            </w:r>
          </w:p>
        </w:tc>
        <w:tc>
          <w:tcPr>
            <w:tcW w:w="3828" w:type="dxa"/>
            <w:vAlign w:val="center"/>
          </w:tcPr>
          <w:p w14:paraId="7100990E">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桓仁盛世鹏利多生鲜超市</w:t>
            </w:r>
          </w:p>
        </w:tc>
        <w:tc>
          <w:tcPr>
            <w:tcW w:w="6193" w:type="dxa"/>
            <w:shd w:val="clear" w:color="auto" w:fill="auto"/>
            <w:vAlign w:val="center"/>
          </w:tcPr>
          <w:p w14:paraId="08CA43A2">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桓仁盛世鹏利多生鲜超市店经营超限量使用食品添加剂的食品案</w:t>
            </w:r>
          </w:p>
        </w:tc>
        <w:tc>
          <w:tcPr>
            <w:tcW w:w="1319" w:type="dxa"/>
            <w:shd w:val="clear" w:color="auto" w:fill="auto"/>
            <w:vAlign w:val="center"/>
          </w:tcPr>
          <w:p w14:paraId="7DEC505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0.4216</w:t>
            </w:r>
          </w:p>
        </w:tc>
        <w:tc>
          <w:tcPr>
            <w:tcW w:w="1481" w:type="dxa"/>
            <w:shd w:val="clear" w:color="auto" w:fill="auto"/>
            <w:vAlign w:val="center"/>
          </w:tcPr>
          <w:p w14:paraId="30775C8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2025.12.25</w:t>
            </w:r>
          </w:p>
        </w:tc>
        <w:tc>
          <w:tcPr>
            <w:tcW w:w="504" w:type="dxa"/>
          </w:tcPr>
          <w:p w14:paraId="28457C6C">
            <w:pPr>
              <w:rPr>
                <w:rFonts w:hint="eastAsia" w:ascii="仿宋" w:hAnsi="仿宋" w:eastAsia="仿宋" w:cs="仿宋"/>
                <w:color w:val="000000" w:themeColor="text1"/>
                <w:szCs w:val="21"/>
                <w14:textFill>
                  <w14:solidFill>
                    <w14:schemeClr w14:val="tx1"/>
                  </w14:solidFill>
                </w14:textFill>
              </w:rPr>
            </w:pPr>
          </w:p>
        </w:tc>
      </w:tr>
      <w:tr w14:paraId="0D5976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7282D785">
            <w:pPr>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11</w:t>
            </w:r>
          </w:p>
        </w:tc>
        <w:tc>
          <w:tcPr>
            <w:tcW w:w="3828" w:type="dxa"/>
            <w:vAlign w:val="center"/>
          </w:tcPr>
          <w:p w14:paraId="02F115D2">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本溪市御轩餐饮有限公司</w:t>
            </w:r>
          </w:p>
        </w:tc>
        <w:tc>
          <w:tcPr>
            <w:tcW w:w="6193" w:type="dxa"/>
            <w:shd w:val="clear" w:color="auto" w:fill="auto"/>
            <w:vAlign w:val="center"/>
          </w:tcPr>
          <w:p w14:paraId="1A2331FA">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本溪市御轩餐饮有限公司使用不合格复用餐具（碗）案</w:t>
            </w:r>
          </w:p>
        </w:tc>
        <w:tc>
          <w:tcPr>
            <w:tcW w:w="1319" w:type="dxa"/>
            <w:shd w:val="clear" w:color="auto" w:fill="auto"/>
            <w:vAlign w:val="center"/>
          </w:tcPr>
          <w:p w14:paraId="3FF4B04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481" w:type="dxa"/>
            <w:shd w:val="clear" w:color="auto" w:fill="auto"/>
            <w:vAlign w:val="center"/>
          </w:tcPr>
          <w:p w14:paraId="6FDB257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2025.12.19</w:t>
            </w:r>
          </w:p>
        </w:tc>
        <w:tc>
          <w:tcPr>
            <w:tcW w:w="504" w:type="dxa"/>
          </w:tcPr>
          <w:p w14:paraId="785F1E2B">
            <w:pPr>
              <w:rPr>
                <w:rFonts w:hint="eastAsia" w:ascii="仿宋" w:hAnsi="仿宋" w:eastAsia="仿宋" w:cs="仿宋"/>
                <w:color w:val="000000" w:themeColor="text1"/>
                <w:szCs w:val="21"/>
                <w14:textFill>
                  <w14:solidFill>
                    <w14:schemeClr w14:val="tx1"/>
                  </w14:solidFill>
                </w14:textFill>
              </w:rPr>
            </w:pPr>
          </w:p>
        </w:tc>
      </w:tr>
    </w:tbl>
    <w:p w14:paraId="7CA04888">
      <w:pPr>
        <w:rPr>
          <w:rFonts w:hint="eastAsia" w:ascii="仿宋" w:hAnsi="仿宋" w:eastAsia="仿宋" w:cs="仿宋"/>
          <w:color w:val="000000" w:themeColor="text1"/>
          <w:szCs w:val="21"/>
          <w14:textFill>
            <w14:solidFill>
              <w14:schemeClr w14:val="tx1"/>
            </w14:solidFill>
          </w14:textFill>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3MzkwMTRlZDliMWFkNGRjOGQ3NmU2ODdkZThiYTMifQ=="/>
  </w:docVars>
  <w:rsids>
    <w:rsidRoot w:val="0053475F"/>
    <w:rsid w:val="003E4672"/>
    <w:rsid w:val="0053475F"/>
    <w:rsid w:val="00843B3D"/>
    <w:rsid w:val="00885D6D"/>
    <w:rsid w:val="00FC02AA"/>
    <w:rsid w:val="01BA73E4"/>
    <w:rsid w:val="028832B4"/>
    <w:rsid w:val="03602845"/>
    <w:rsid w:val="06F772FB"/>
    <w:rsid w:val="06F84D7D"/>
    <w:rsid w:val="075E2523"/>
    <w:rsid w:val="0A8E365F"/>
    <w:rsid w:val="0AF33383"/>
    <w:rsid w:val="0CA1167E"/>
    <w:rsid w:val="112600E6"/>
    <w:rsid w:val="122214CC"/>
    <w:rsid w:val="12EE791C"/>
    <w:rsid w:val="12EF539D"/>
    <w:rsid w:val="141E5A8F"/>
    <w:rsid w:val="1A1A4AE0"/>
    <w:rsid w:val="1A82320B"/>
    <w:rsid w:val="1ADD14A6"/>
    <w:rsid w:val="1BB36E00"/>
    <w:rsid w:val="1C17169D"/>
    <w:rsid w:val="1DB268C5"/>
    <w:rsid w:val="1F8D24F6"/>
    <w:rsid w:val="20E37A02"/>
    <w:rsid w:val="213B5E92"/>
    <w:rsid w:val="227A681E"/>
    <w:rsid w:val="22D32730"/>
    <w:rsid w:val="22E174C7"/>
    <w:rsid w:val="247A3D65"/>
    <w:rsid w:val="26DF6A52"/>
    <w:rsid w:val="2A0E468C"/>
    <w:rsid w:val="2ADA2ADB"/>
    <w:rsid w:val="306275EE"/>
    <w:rsid w:val="317E1048"/>
    <w:rsid w:val="326D0948"/>
    <w:rsid w:val="34D310B7"/>
    <w:rsid w:val="34E51330"/>
    <w:rsid w:val="363C1012"/>
    <w:rsid w:val="38160724"/>
    <w:rsid w:val="39340367"/>
    <w:rsid w:val="39355DE8"/>
    <w:rsid w:val="3A5A0149"/>
    <w:rsid w:val="3AC03371"/>
    <w:rsid w:val="3ACE0108"/>
    <w:rsid w:val="3B34332F"/>
    <w:rsid w:val="3B9B6557"/>
    <w:rsid w:val="3CCB46CA"/>
    <w:rsid w:val="3FF86C89"/>
    <w:rsid w:val="40C916D7"/>
    <w:rsid w:val="412F48FF"/>
    <w:rsid w:val="41387FBC"/>
    <w:rsid w:val="465C10FD"/>
    <w:rsid w:val="467F56B8"/>
    <w:rsid w:val="479010F6"/>
    <w:rsid w:val="48C935F7"/>
    <w:rsid w:val="4B8E6103"/>
    <w:rsid w:val="4BF338A9"/>
    <w:rsid w:val="4DB707E9"/>
    <w:rsid w:val="4DF07E6B"/>
    <w:rsid w:val="4DF158ED"/>
    <w:rsid w:val="4E38388D"/>
    <w:rsid w:val="4F884709"/>
    <w:rsid w:val="50552B58"/>
    <w:rsid w:val="5253261E"/>
    <w:rsid w:val="5B1A7584"/>
    <w:rsid w:val="5DE62F1A"/>
    <w:rsid w:val="61E324A5"/>
    <w:rsid w:val="65790D87"/>
    <w:rsid w:val="6775534A"/>
    <w:rsid w:val="68351F05"/>
    <w:rsid w:val="6B732357"/>
    <w:rsid w:val="716F13A8"/>
    <w:rsid w:val="74077289"/>
    <w:rsid w:val="743A72BC"/>
    <w:rsid w:val="7C985AF7"/>
    <w:rsid w:val="7E967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604</Words>
  <Characters>748</Characters>
  <Lines>5</Lines>
  <Paragraphs>1</Paragraphs>
  <TotalTime>22</TotalTime>
  <ScaleCrop>false</ScaleCrop>
  <LinksUpToDate>false</LinksUpToDate>
  <CharactersWithSpaces>780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2024-08-21T06:30:00Z</dcterms:created>
  <dc:creator>PC</dc:creator>
  <cp:lastModifiedBy>兔六哥 </cp:lastModifiedBy>
  <dcterms:modified xsi:type="dcterms:W3CDTF">2026-02-13T05:22:38Z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eyJoZGlkIjoiYTk3MzkwMTRlZDliMWFkNGRjOGQ3NmU2ODdkZThiYTMiLCJ1c2VySWQiOiI3MTQ5NDA4MzkifQ==</vt:lpwstr>
  </property>
  <property fmtid="{D5CDD505-2E9C-101B-9397-08002B2CF9AE}" pid="3" name="KSOProductBuildVer">
    <vt:lpwstr>2052-12.1.0.24657</vt:lpwstr>
  </property>
  <property fmtid="{D5CDD505-2E9C-101B-9397-08002B2CF9AE}" pid="4" name="ICV">
    <vt:lpwstr>023D13CBAAFC427BB24BE93161A8CA5E_13</vt:lpwstr>
  </property>
</Properties>
</file>