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8B616">
      <w:pPr>
        <w:pStyle w:val="4"/>
        <w:shd w:val="clear" w:color="auto" w:fill="FFFFFF"/>
        <w:spacing w:before="0" w:beforeAutospacing="0" w:after="0" w:afterAutospacing="0"/>
        <w:ind w:firstLine="2200" w:firstLineChars="500"/>
        <w:rPr>
          <w:rFonts w:ascii="微软雅黑" w:hAnsi="微软雅黑" w:eastAsia="微软雅黑"/>
          <w:color w:val="666666"/>
          <w:sz w:val="19"/>
          <w:szCs w:val="19"/>
        </w:rPr>
      </w:pPr>
      <w:r>
        <w:rPr>
          <w:rFonts w:hint="eastAsia"/>
          <w:color w:val="666666"/>
          <w:sz w:val="44"/>
          <w:szCs w:val="44"/>
        </w:rPr>
        <w:t>202</w:t>
      </w:r>
      <w:r>
        <w:rPr>
          <w:rFonts w:hint="eastAsia"/>
          <w:color w:val="666666"/>
          <w:sz w:val="44"/>
          <w:szCs w:val="44"/>
          <w:lang w:val="en-US" w:eastAsia="zh-CN"/>
        </w:rPr>
        <w:t>1</w:t>
      </w:r>
      <w:r>
        <w:rPr>
          <w:rFonts w:hint="eastAsia"/>
          <w:color w:val="666666"/>
          <w:sz w:val="44"/>
          <w:szCs w:val="44"/>
        </w:rPr>
        <w:t>年三类医疗器械经营许可（变更）公告（</w:t>
      </w:r>
      <w:r>
        <w:rPr>
          <w:rFonts w:hint="eastAsia"/>
          <w:color w:val="666666"/>
          <w:sz w:val="44"/>
          <w:szCs w:val="44"/>
          <w:lang w:val="en-US" w:eastAsia="zh-CN"/>
        </w:rPr>
        <w:t>3</w:t>
      </w:r>
      <w:r>
        <w:rPr>
          <w:rFonts w:hint="eastAsia"/>
          <w:color w:val="666666"/>
          <w:sz w:val="44"/>
          <w:szCs w:val="44"/>
        </w:rPr>
        <w:t>号）</w:t>
      </w:r>
    </w:p>
    <w:p w14:paraId="6A7BB7A7">
      <w:pPr>
        <w:pStyle w:val="4"/>
        <w:shd w:val="clear" w:color="auto" w:fill="FFFFFF"/>
        <w:spacing w:before="0" w:beforeAutospacing="0" w:after="0" w:afterAutospacing="0"/>
        <w:ind w:firstLine="3080"/>
        <w:rPr>
          <w:rFonts w:ascii="微软雅黑" w:hAnsi="微软雅黑" w:eastAsia="微软雅黑"/>
          <w:color w:val="666666"/>
          <w:sz w:val="19"/>
          <w:szCs w:val="19"/>
        </w:rPr>
      </w:pPr>
      <w:r>
        <w:rPr>
          <w:rFonts w:hint="eastAsia"/>
          <w:color w:val="666666"/>
          <w:sz w:val="44"/>
          <w:szCs w:val="44"/>
        </w:rPr>
        <w:t> </w:t>
      </w:r>
    </w:p>
    <w:p w14:paraId="73BF05FF">
      <w:pPr>
        <w:pStyle w:val="4"/>
        <w:shd w:val="clear" w:color="auto" w:fill="FFFFFF"/>
        <w:spacing w:before="0" w:beforeAutospacing="0" w:after="0" w:afterAutospacing="0"/>
        <w:ind w:firstLine="640"/>
        <w:rPr>
          <w:rFonts w:ascii="微软雅黑" w:hAnsi="微软雅黑" w:eastAsia="微软雅黑"/>
          <w:color w:val="666666"/>
          <w:sz w:val="19"/>
          <w:szCs w:val="19"/>
        </w:rPr>
      </w:pPr>
      <w:r>
        <w:rPr>
          <w:rFonts w:hint="eastAsia" w:ascii="仿宋" w:hAnsi="仿宋" w:eastAsia="仿宋"/>
          <w:color w:val="666666"/>
          <w:sz w:val="32"/>
          <w:szCs w:val="32"/>
        </w:rPr>
        <w:t>依据《中华人民共和国行政许可法》有关行政许可的规定和《医疗器械监督管理条例》、《医疗器械经营监督管理办法》、《本溪市食品药品监督管理局关于印发本溪市医疗器械经营质量管理规范现场检查评定标准的通知》等法律、法规、规章的有关规定，本溪市市场监督管理局决定对辽宁华航医疗器械有限公司等</w:t>
      </w:r>
      <w:r>
        <w:rPr>
          <w:rFonts w:hint="eastAsia" w:ascii="仿宋" w:hAnsi="仿宋" w:eastAsia="仿宋"/>
          <w:color w:val="666666"/>
          <w:sz w:val="32"/>
          <w:szCs w:val="32"/>
          <w:lang w:val="en-US" w:eastAsia="zh-CN"/>
        </w:rPr>
        <w:t>5</w:t>
      </w:r>
      <w:r>
        <w:rPr>
          <w:rFonts w:hint="eastAsia" w:ascii="仿宋" w:hAnsi="仿宋" w:eastAsia="仿宋"/>
          <w:color w:val="666666"/>
          <w:sz w:val="32"/>
          <w:szCs w:val="32"/>
        </w:rPr>
        <w:t>家医疗器械经营企业的许可证变更申请予以批准。</w:t>
      </w:r>
      <w:r>
        <w:rPr>
          <w:rFonts w:hint="eastAsia" w:ascii="微软雅黑" w:hAnsi="微软雅黑" w:eastAsia="微软雅黑"/>
          <w:color w:val="666666"/>
          <w:sz w:val="32"/>
          <w:szCs w:val="32"/>
        </w:rPr>
        <w:t> </w:t>
      </w:r>
    </w:p>
    <w:p w14:paraId="19E522E4">
      <w:pPr>
        <w:pStyle w:val="4"/>
        <w:shd w:val="clear" w:color="auto" w:fill="FFFFFF"/>
        <w:spacing w:before="0" w:beforeAutospacing="0" w:after="0" w:afterAutospacing="0"/>
        <w:ind w:firstLine="640"/>
        <w:jc w:val="both"/>
        <w:rPr>
          <w:rFonts w:ascii="微软雅黑" w:hAnsi="微软雅黑" w:eastAsia="微软雅黑"/>
          <w:color w:val="666666"/>
          <w:sz w:val="19"/>
          <w:szCs w:val="19"/>
        </w:rPr>
      </w:pPr>
      <w:r>
        <w:rPr>
          <w:rFonts w:hint="eastAsia" w:ascii="微软雅黑" w:hAnsi="微软雅黑" w:eastAsia="微软雅黑"/>
          <w:color w:val="666666"/>
          <w:sz w:val="32"/>
          <w:szCs w:val="32"/>
        </w:rPr>
        <w:t> </w:t>
      </w:r>
    </w:p>
    <w:p w14:paraId="79A17586">
      <w:pPr>
        <w:pStyle w:val="4"/>
        <w:shd w:val="clear" w:color="auto" w:fill="FFFFFF"/>
        <w:spacing w:before="0" w:beforeAutospacing="0" w:after="0" w:afterAutospacing="0"/>
        <w:ind w:firstLine="640"/>
        <w:jc w:val="both"/>
        <w:rPr>
          <w:rFonts w:ascii="微软雅黑" w:hAnsi="微软雅黑" w:eastAsia="微软雅黑"/>
          <w:color w:val="666666"/>
          <w:sz w:val="19"/>
          <w:szCs w:val="19"/>
        </w:rPr>
      </w:pPr>
      <w:r>
        <w:rPr>
          <w:rFonts w:hint="eastAsia" w:ascii="微软雅黑" w:hAnsi="微软雅黑" w:eastAsia="微软雅黑"/>
          <w:color w:val="666666"/>
          <w:sz w:val="32"/>
          <w:szCs w:val="32"/>
        </w:rPr>
        <w:t> </w:t>
      </w:r>
      <w:r>
        <w:rPr>
          <w:rFonts w:hint="eastAsia" w:ascii="仿宋" w:hAnsi="仿宋" w:eastAsia="仿宋"/>
          <w:color w:val="666666"/>
          <w:sz w:val="32"/>
          <w:szCs w:val="32"/>
        </w:rPr>
        <w:t>特此公告。</w:t>
      </w:r>
      <w:r>
        <w:rPr>
          <w:rFonts w:hint="eastAsia" w:ascii="微软雅黑" w:hAnsi="微软雅黑" w:eastAsia="微软雅黑"/>
          <w:color w:val="666666"/>
          <w:sz w:val="18"/>
          <w:szCs w:val="18"/>
        </w:rPr>
        <w:t> </w:t>
      </w:r>
    </w:p>
    <w:p w14:paraId="5B4E676A">
      <w:pPr>
        <w:pStyle w:val="4"/>
        <w:shd w:val="clear" w:color="auto" w:fill="FFFFFF"/>
        <w:spacing w:before="0" w:beforeAutospacing="0" w:after="0" w:afterAutospacing="0"/>
        <w:ind w:firstLine="640"/>
        <w:jc w:val="both"/>
        <w:rPr>
          <w:rFonts w:ascii="微软雅黑" w:hAnsi="微软雅黑" w:eastAsia="微软雅黑"/>
          <w:color w:val="666666"/>
          <w:sz w:val="19"/>
          <w:szCs w:val="19"/>
        </w:rPr>
      </w:pPr>
      <w:r>
        <w:rPr>
          <w:rFonts w:hint="eastAsia" w:ascii="微软雅黑" w:hAnsi="微软雅黑" w:eastAsia="微软雅黑"/>
          <w:color w:val="666666"/>
          <w:sz w:val="18"/>
          <w:szCs w:val="18"/>
        </w:rPr>
        <w:t> </w:t>
      </w:r>
    </w:p>
    <w:p w14:paraId="7A0D03A1">
      <w:pPr>
        <w:pStyle w:val="4"/>
        <w:shd w:val="clear" w:color="auto" w:fill="FFFFFF"/>
        <w:spacing w:before="0" w:beforeAutospacing="0" w:after="0" w:afterAutospacing="0"/>
        <w:ind w:firstLine="640"/>
        <w:jc w:val="both"/>
        <w:rPr>
          <w:rFonts w:ascii="微软雅黑" w:hAnsi="微软雅黑" w:eastAsia="微软雅黑"/>
          <w:color w:val="666666"/>
          <w:sz w:val="19"/>
          <w:szCs w:val="19"/>
        </w:rPr>
      </w:pPr>
      <w:r>
        <w:rPr>
          <w:rFonts w:hint="eastAsia" w:ascii="微软雅黑" w:hAnsi="微软雅黑" w:eastAsia="微软雅黑"/>
          <w:color w:val="666666"/>
          <w:sz w:val="18"/>
          <w:szCs w:val="18"/>
        </w:rPr>
        <w:t> </w:t>
      </w:r>
    </w:p>
    <w:p w14:paraId="2DDCB904">
      <w:pPr>
        <w:pStyle w:val="4"/>
        <w:shd w:val="clear" w:color="auto" w:fill="FFFFFF"/>
        <w:spacing w:before="0" w:beforeAutospacing="0" w:after="0" w:afterAutospacing="0"/>
        <w:ind w:firstLine="640"/>
        <w:jc w:val="center"/>
        <w:rPr>
          <w:color w:val="666666"/>
          <w:sz w:val="32"/>
          <w:szCs w:val="32"/>
        </w:rPr>
      </w:pPr>
      <w:r>
        <w:rPr>
          <w:rFonts w:hint="eastAsia"/>
          <w:color w:val="666666"/>
          <w:sz w:val="32"/>
          <w:szCs w:val="32"/>
        </w:rPr>
        <w:t>                       </w:t>
      </w:r>
    </w:p>
    <w:p w14:paraId="33430A02">
      <w:pPr>
        <w:pStyle w:val="4"/>
        <w:shd w:val="clear" w:color="auto" w:fill="FFFFFF"/>
        <w:spacing w:before="0" w:beforeAutospacing="0" w:after="0" w:afterAutospacing="0"/>
        <w:ind w:firstLine="640"/>
        <w:jc w:val="center"/>
        <w:rPr>
          <w:rFonts w:ascii="微软雅黑" w:hAnsi="微软雅黑" w:eastAsia="微软雅黑"/>
          <w:color w:val="666666"/>
          <w:sz w:val="19"/>
          <w:szCs w:val="19"/>
        </w:rPr>
      </w:pPr>
      <w:r>
        <w:rPr>
          <w:rFonts w:hint="eastAsia" w:ascii="仿宋" w:hAnsi="仿宋" w:eastAsia="仿宋"/>
          <w:color w:val="666666"/>
          <w:sz w:val="32"/>
          <w:szCs w:val="32"/>
        </w:rPr>
        <w:t xml:space="preserve">                                   本溪市市场监督管理局</w:t>
      </w:r>
    </w:p>
    <w:p w14:paraId="2FB5AAE4">
      <w:pPr>
        <w:pStyle w:val="4"/>
        <w:shd w:val="clear" w:color="auto" w:fill="FFFFFF"/>
        <w:spacing w:before="0" w:beforeAutospacing="0" w:after="0" w:afterAutospacing="0"/>
        <w:ind w:firstLine="640"/>
        <w:jc w:val="center"/>
        <w:rPr>
          <w:rFonts w:ascii="仿宋" w:hAnsi="仿宋" w:eastAsia="仿宋"/>
          <w:color w:val="666666"/>
          <w:sz w:val="32"/>
          <w:szCs w:val="32"/>
        </w:rPr>
      </w:pPr>
      <w:r>
        <w:rPr>
          <w:rFonts w:hint="eastAsia"/>
          <w:color w:val="666666"/>
          <w:sz w:val="32"/>
          <w:szCs w:val="32"/>
        </w:rPr>
        <w:t>                  </w:t>
      </w:r>
      <w:r>
        <w:rPr>
          <w:rFonts w:hint="eastAsia" w:ascii="仿宋" w:hAnsi="仿宋" w:eastAsia="仿宋" w:cs="仿宋"/>
          <w:color w:val="666666"/>
          <w:sz w:val="32"/>
          <w:szCs w:val="32"/>
        </w:rPr>
        <w:t>202</w:t>
      </w:r>
      <w:r>
        <w:rPr>
          <w:rFonts w:hint="eastAsia" w:ascii="仿宋" w:hAnsi="仿宋" w:eastAsia="仿宋" w:cs="仿宋"/>
          <w:color w:val="666666"/>
          <w:sz w:val="32"/>
          <w:szCs w:val="32"/>
          <w:lang w:val="en-US" w:eastAsia="zh-CN"/>
        </w:rPr>
        <w:t>1</w:t>
      </w:r>
      <w:r>
        <w:rPr>
          <w:rFonts w:hint="eastAsia" w:ascii="仿宋" w:hAnsi="仿宋" w:eastAsia="仿宋"/>
          <w:color w:val="666666"/>
          <w:sz w:val="32"/>
          <w:szCs w:val="32"/>
        </w:rPr>
        <w:t>年</w:t>
      </w:r>
      <w:r>
        <w:rPr>
          <w:rFonts w:hint="eastAsia" w:ascii="仿宋" w:hAnsi="仿宋" w:eastAsia="仿宋"/>
          <w:color w:val="666666"/>
          <w:sz w:val="32"/>
          <w:szCs w:val="32"/>
          <w:lang w:val="en-US" w:eastAsia="zh-CN"/>
        </w:rPr>
        <w:t>3</w:t>
      </w:r>
      <w:r>
        <w:rPr>
          <w:rFonts w:hint="eastAsia" w:ascii="仿宋" w:hAnsi="仿宋" w:eastAsia="仿宋"/>
          <w:color w:val="666666"/>
          <w:sz w:val="32"/>
          <w:szCs w:val="32"/>
        </w:rPr>
        <w:t>月</w:t>
      </w:r>
      <w:r>
        <w:rPr>
          <w:rFonts w:hint="eastAsia" w:ascii="仿宋" w:hAnsi="仿宋" w:eastAsia="仿宋"/>
          <w:color w:val="666666"/>
          <w:sz w:val="32"/>
          <w:szCs w:val="32"/>
          <w:lang w:val="en-US" w:eastAsia="zh-CN"/>
        </w:rPr>
        <w:t>31</w:t>
      </w:r>
      <w:r>
        <w:rPr>
          <w:rFonts w:hint="eastAsia" w:ascii="仿宋" w:hAnsi="仿宋" w:eastAsia="仿宋"/>
          <w:color w:val="666666"/>
          <w:sz w:val="32"/>
          <w:szCs w:val="32"/>
        </w:rPr>
        <w:t>日</w:t>
      </w:r>
    </w:p>
    <w:p w14:paraId="31AD4ED6">
      <w:pPr>
        <w:pStyle w:val="4"/>
        <w:shd w:val="clear" w:color="auto" w:fill="FFFFFF"/>
        <w:spacing w:before="0" w:beforeAutospacing="0" w:after="0" w:afterAutospacing="0"/>
        <w:ind w:firstLine="640"/>
        <w:jc w:val="center"/>
        <w:rPr>
          <w:rFonts w:ascii="微软雅黑" w:hAnsi="微软雅黑" w:eastAsia="微软雅黑"/>
          <w:color w:val="666666"/>
          <w:sz w:val="19"/>
          <w:szCs w:val="19"/>
        </w:rPr>
      </w:pPr>
    </w:p>
    <w:tbl>
      <w:tblPr>
        <w:tblStyle w:val="5"/>
        <w:tblW w:w="14394" w:type="dxa"/>
        <w:tblInd w:w="-25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856"/>
        <w:gridCol w:w="1481"/>
        <w:gridCol w:w="1418"/>
        <w:gridCol w:w="2409"/>
        <w:gridCol w:w="5245"/>
        <w:gridCol w:w="1276"/>
        <w:gridCol w:w="1276"/>
      </w:tblGrid>
      <w:tr w14:paraId="09B556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 w:hRule="atLeast"/>
        </w:trPr>
        <w:tc>
          <w:tcPr>
            <w:tcW w:w="433" w:type="dxa"/>
            <w:tcBorders>
              <w:top w:val="single" w:color="auto" w:sz="4" w:space="0"/>
              <w:left w:val="single" w:color="auto" w:sz="4" w:space="0"/>
              <w:bottom w:val="single" w:color="auto" w:sz="4" w:space="0"/>
              <w:right w:val="single" w:color="auto" w:sz="4" w:space="0"/>
            </w:tcBorders>
            <w:vAlign w:val="center"/>
          </w:tcPr>
          <w:p w14:paraId="342458F3">
            <w:pPr>
              <w:spacing w:line="0" w:lineRule="atLeast"/>
              <w:jc w:val="center"/>
              <w:rPr>
                <w:szCs w:val="21"/>
              </w:rPr>
            </w:pPr>
            <w:r>
              <w:rPr>
                <w:rFonts w:hint="eastAsia"/>
                <w:szCs w:val="21"/>
              </w:rPr>
              <w:t>序号</w:t>
            </w:r>
          </w:p>
        </w:tc>
        <w:tc>
          <w:tcPr>
            <w:tcW w:w="856" w:type="dxa"/>
            <w:tcBorders>
              <w:top w:val="single" w:color="auto" w:sz="4" w:space="0"/>
              <w:left w:val="single" w:color="auto" w:sz="4" w:space="0"/>
              <w:bottom w:val="single" w:color="auto" w:sz="4" w:space="0"/>
              <w:right w:val="single" w:color="auto" w:sz="4" w:space="0"/>
            </w:tcBorders>
            <w:vAlign w:val="center"/>
          </w:tcPr>
          <w:p w14:paraId="0EE5DE79">
            <w:pPr>
              <w:spacing w:line="0" w:lineRule="atLeast"/>
              <w:jc w:val="center"/>
              <w:rPr>
                <w:szCs w:val="21"/>
              </w:rPr>
            </w:pPr>
            <w:r>
              <w:rPr>
                <w:rFonts w:hint="eastAsia"/>
                <w:szCs w:val="21"/>
              </w:rPr>
              <w:t>变更事项</w:t>
            </w:r>
          </w:p>
        </w:tc>
        <w:tc>
          <w:tcPr>
            <w:tcW w:w="1481" w:type="dxa"/>
            <w:tcBorders>
              <w:top w:val="single" w:color="auto" w:sz="4" w:space="0"/>
              <w:left w:val="single" w:color="auto" w:sz="4" w:space="0"/>
              <w:bottom w:val="single" w:color="auto" w:sz="4" w:space="0"/>
              <w:right w:val="single" w:color="auto" w:sz="4" w:space="0"/>
            </w:tcBorders>
            <w:vAlign w:val="center"/>
          </w:tcPr>
          <w:p w14:paraId="45EF7E4D">
            <w:pPr>
              <w:spacing w:line="0" w:lineRule="atLeast"/>
              <w:jc w:val="center"/>
              <w:rPr>
                <w:szCs w:val="21"/>
              </w:rPr>
            </w:pPr>
            <w:r>
              <w:rPr>
                <w:rFonts w:hint="eastAsia"/>
                <w:szCs w:val="21"/>
              </w:rPr>
              <w:t>许可证号</w:t>
            </w:r>
          </w:p>
        </w:tc>
        <w:tc>
          <w:tcPr>
            <w:tcW w:w="1418" w:type="dxa"/>
            <w:tcBorders>
              <w:top w:val="single" w:color="auto" w:sz="4" w:space="0"/>
              <w:left w:val="single" w:color="auto" w:sz="4" w:space="0"/>
              <w:bottom w:val="single" w:color="auto" w:sz="4" w:space="0"/>
              <w:right w:val="single" w:color="auto" w:sz="4" w:space="0"/>
            </w:tcBorders>
            <w:vAlign w:val="center"/>
          </w:tcPr>
          <w:p w14:paraId="5E718D02">
            <w:pPr>
              <w:spacing w:line="0" w:lineRule="atLeast"/>
              <w:jc w:val="center"/>
              <w:rPr>
                <w:szCs w:val="21"/>
              </w:rPr>
            </w:pPr>
            <w:r>
              <w:rPr>
                <w:rFonts w:hint="eastAsia"/>
                <w:szCs w:val="21"/>
              </w:rPr>
              <w:t>企业名称</w:t>
            </w:r>
          </w:p>
        </w:tc>
        <w:tc>
          <w:tcPr>
            <w:tcW w:w="2409" w:type="dxa"/>
            <w:tcBorders>
              <w:top w:val="single" w:color="auto" w:sz="4" w:space="0"/>
              <w:left w:val="single" w:color="auto" w:sz="4" w:space="0"/>
              <w:bottom w:val="single" w:color="auto" w:sz="4" w:space="0"/>
              <w:right w:val="single" w:color="auto" w:sz="4" w:space="0"/>
            </w:tcBorders>
            <w:vAlign w:val="center"/>
          </w:tcPr>
          <w:p w14:paraId="38ABCBBD">
            <w:pPr>
              <w:spacing w:line="0" w:lineRule="atLeast"/>
              <w:jc w:val="center"/>
              <w:rPr>
                <w:szCs w:val="21"/>
              </w:rPr>
            </w:pPr>
            <w:r>
              <w:rPr>
                <w:rFonts w:hint="eastAsia"/>
                <w:szCs w:val="21"/>
              </w:rPr>
              <w:t>企业地址</w:t>
            </w:r>
          </w:p>
        </w:tc>
        <w:tc>
          <w:tcPr>
            <w:tcW w:w="5245" w:type="dxa"/>
            <w:tcBorders>
              <w:top w:val="single" w:color="auto" w:sz="4" w:space="0"/>
              <w:left w:val="single" w:color="auto" w:sz="4" w:space="0"/>
              <w:bottom w:val="single" w:color="auto" w:sz="4" w:space="0"/>
              <w:right w:val="single" w:color="auto" w:sz="4" w:space="0"/>
            </w:tcBorders>
            <w:vAlign w:val="center"/>
          </w:tcPr>
          <w:p w14:paraId="61F8454D">
            <w:pPr>
              <w:spacing w:line="0" w:lineRule="atLeast"/>
              <w:jc w:val="center"/>
              <w:rPr>
                <w:szCs w:val="21"/>
              </w:rPr>
            </w:pPr>
            <w:r>
              <w:rPr>
                <w:rFonts w:hint="eastAsia"/>
                <w:szCs w:val="21"/>
              </w:rPr>
              <w:t>变更内容后</w:t>
            </w:r>
          </w:p>
        </w:tc>
        <w:tc>
          <w:tcPr>
            <w:tcW w:w="1276" w:type="dxa"/>
            <w:tcBorders>
              <w:top w:val="single" w:color="auto" w:sz="4" w:space="0"/>
              <w:left w:val="single" w:color="auto" w:sz="4" w:space="0"/>
              <w:bottom w:val="single" w:color="auto" w:sz="4" w:space="0"/>
              <w:right w:val="single" w:color="auto" w:sz="4" w:space="0"/>
            </w:tcBorders>
            <w:vAlign w:val="center"/>
          </w:tcPr>
          <w:p w14:paraId="725887B9">
            <w:pPr>
              <w:spacing w:line="0" w:lineRule="atLeast"/>
              <w:jc w:val="center"/>
            </w:pPr>
            <w:r>
              <w:rPr>
                <w:rFonts w:hint="eastAsia"/>
                <w:szCs w:val="21"/>
              </w:rPr>
              <w:t>经营方式</w:t>
            </w:r>
          </w:p>
        </w:tc>
        <w:tc>
          <w:tcPr>
            <w:tcW w:w="1276" w:type="dxa"/>
            <w:tcBorders>
              <w:top w:val="single" w:color="auto" w:sz="4" w:space="0"/>
              <w:left w:val="single" w:color="auto" w:sz="4" w:space="0"/>
              <w:bottom w:val="single" w:color="auto" w:sz="4" w:space="0"/>
              <w:right w:val="single" w:color="auto" w:sz="4" w:space="0"/>
            </w:tcBorders>
            <w:vAlign w:val="center"/>
          </w:tcPr>
          <w:p w14:paraId="1E2F5D65">
            <w:pPr>
              <w:spacing w:line="0" w:lineRule="atLeast"/>
              <w:jc w:val="center"/>
              <w:rPr>
                <w:szCs w:val="21"/>
              </w:rPr>
            </w:pPr>
            <w:r>
              <w:rPr>
                <w:rFonts w:hint="eastAsia"/>
                <w:szCs w:val="21"/>
              </w:rPr>
              <w:t>办结日期</w:t>
            </w:r>
          </w:p>
        </w:tc>
      </w:tr>
      <w:tr w14:paraId="6C6CDE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14:paraId="78BBD69D">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14:paraId="0E80F95E">
            <w:pPr>
              <w:spacing w:line="0" w:lineRule="atLeast"/>
              <w:jc w:val="center"/>
            </w:pPr>
            <w:r>
              <w:rPr>
                <w:rFonts w:hint="eastAsia"/>
                <w:szCs w:val="21"/>
                <w:lang w:eastAsia="zh-CN"/>
              </w:rPr>
              <w:t>变更经营范围</w:t>
            </w:r>
          </w:p>
        </w:tc>
        <w:tc>
          <w:tcPr>
            <w:tcW w:w="1481" w:type="dxa"/>
            <w:tcBorders>
              <w:top w:val="single" w:color="auto" w:sz="4" w:space="0"/>
              <w:left w:val="single" w:color="auto" w:sz="4" w:space="0"/>
              <w:bottom w:val="single" w:color="auto" w:sz="4" w:space="0"/>
              <w:right w:val="single" w:color="auto" w:sz="4" w:space="0"/>
            </w:tcBorders>
            <w:vAlign w:val="center"/>
          </w:tcPr>
          <w:p w14:paraId="49A3DB9C">
            <w:pPr>
              <w:spacing w:line="0" w:lineRule="atLeast"/>
              <w:jc w:val="center"/>
            </w:pPr>
            <w:r>
              <w:rPr>
                <w:rFonts w:hint="eastAsia"/>
                <w:szCs w:val="21"/>
              </w:rPr>
              <w:t>辽溪食药监械经营许20210008号</w:t>
            </w:r>
          </w:p>
        </w:tc>
        <w:tc>
          <w:tcPr>
            <w:tcW w:w="1418" w:type="dxa"/>
            <w:tcBorders>
              <w:top w:val="single" w:color="auto" w:sz="4" w:space="0"/>
              <w:left w:val="single" w:color="auto" w:sz="4" w:space="0"/>
              <w:bottom w:val="single" w:color="auto" w:sz="4" w:space="0"/>
              <w:right w:val="single" w:color="auto" w:sz="4" w:space="0"/>
            </w:tcBorders>
            <w:vAlign w:val="center"/>
          </w:tcPr>
          <w:p w14:paraId="4F76A45F">
            <w:pPr>
              <w:jc w:val="left"/>
            </w:pPr>
            <w:r>
              <w:rPr>
                <w:rFonts w:hint="eastAsia"/>
                <w:szCs w:val="21"/>
              </w:rPr>
              <w:t>辽宁华航医疗器械有限公司</w:t>
            </w:r>
          </w:p>
        </w:tc>
        <w:tc>
          <w:tcPr>
            <w:tcW w:w="2409" w:type="dxa"/>
            <w:tcBorders>
              <w:top w:val="single" w:color="auto" w:sz="4" w:space="0"/>
              <w:left w:val="single" w:color="auto" w:sz="4" w:space="0"/>
              <w:bottom w:val="single" w:color="auto" w:sz="4" w:space="0"/>
              <w:right w:val="single" w:color="auto" w:sz="4" w:space="0"/>
            </w:tcBorders>
            <w:vAlign w:val="center"/>
          </w:tcPr>
          <w:p w14:paraId="25000CBA">
            <w:pPr>
              <w:spacing w:line="0" w:lineRule="atLeast"/>
              <w:jc w:val="center"/>
            </w:pPr>
            <w:r>
              <w:rPr>
                <w:rFonts w:hint="eastAsia"/>
                <w:color w:val="000000"/>
                <w:sz w:val="22"/>
                <w:shd w:val="clear" w:color="auto" w:fill="FFFFFF"/>
              </w:rPr>
              <w:t>辽宁省本溪市高新技术产业开发区神农大街18号7#C座4-1-28</w:t>
            </w:r>
          </w:p>
        </w:tc>
        <w:tc>
          <w:tcPr>
            <w:tcW w:w="5245" w:type="dxa"/>
            <w:tcBorders>
              <w:top w:val="single" w:color="auto" w:sz="4" w:space="0"/>
              <w:left w:val="single" w:color="auto" w:sz="4" w:space="0"/>
              <w:bottom w:val="single" w:color="auto" w:sz="4" w:space="0"/>
              <w:right w:val="single" w:color="auto" w:sz="4" w:space="0"/>
            </w:tcBorders>
            <w:vAlign w:val="center"/>
          </w:tcPr>
          <w:p w14:paraId="2F2A223C">
            <w:pPr>
              <w:spacing w:line="0" w:lineRule="atLeast"/>
              <w:jc w:val="center"/>
            </w:pPr>
            <w:r>
              <w:rPr>
                <w:rFonts w:hint="eastAsia"/>
                <w:szCs w:val="21"/>
                <w:lang w:eastAsia="zh-CN"/>
              </w:rPr>
              <w:t>经营范围变更为：</w:t>
            </w:r>
            <w:r>
              <w:rPr>
                <w:rFonts w:hint="eastAsia" w:ascii="宋体" w:hAnsi="宋体" w:eastAsia="宋体" w:cs="宋体"/>
                <w:b/>
                <w:i w:val="0"/>
                <w:caps w:val="0"/>
                <w:color w:val="000000"/>
                <w:spacing w:val="0"/>
                <w:sz w:val="20"/>
                <w:szCs w:val="20"/>
                <w:shd w:val="clear" w:fill="FFFFFF"/>
              </w:rPr>
              <w:t>2002年分类目录：</w:t>
            </w:r>
            <w:r>
              <w:rPr>
                <w:rFonts w:hint="eastAsia" w:ascii="宋体" w:hAnsi="宋体" w:eastAsia="宋体" w:cs="宋体"/>
                <w:i w:val="0"/>
                <w:caps w:val="0"/>
                <w:color w:val="000000"/>
                <w:spacing w:val="0"/>
                <w:sz w:val="20"/>
                <w:szCs w:val="20"/>
                <w:shd w:val="clear" w:fill="FFFFFF"/>
              </w:rPr>
              <w:t>6804眼科手术器械，6815注射穿刺器械，6821医用电子仪器设备，6822医用光学器具、仪器及内窥镜设备，6823医用超声仪器及有关设备，6824医用激光仪器设备，6825医用高频仪器设备，6826物理治疗及康复设备，6827中医器械，6828医用磁共振设备，6830医用X射线设备，6840临床检验分析仪器及诊断试剂（诊断试剂不需低温冷藏运输贮存），6845体外循环及血液处理设备，6846植入材料和人工器官，6854手术室、急救室、诊疗室设备及器具，6855口腔科设备及器具，6856病房护理设备及器具，6857消毒和灭菌设备及器具，6858医用冷疗、低温、冷藏设备及器具，6863口腔科材料，6864医用卫生材料及敷料，6865医用缝合材料及粘合剂，6866医用高分子材料及制品，6870软 件，6877介入器材</w:t>
            </w:r>
            <w:r>
              <w:rPr>
                <w:rFonts w:hint="eastAsia" w:ascii="宋体" w:hAnsi="宋体" w:eastAsia="宋体" w:cs="宋体"/>
                <w:i w:val="0"/>
                <w:caps w:val="0"/>
                <w:color w:val="000000"/>
                <w:spacing w:val="0"/>
                <w:sz w:val="20"/>
                <w:szCs w:val="20"/>
                <w:shd w:val="clear" w:fill="FFFFFF"/>
              </w:rPr>
              <w:br w:type="textWrapping"/>
            </w:r>
            <w:r>
              <w:rPr>
                <w:rFonts w:hint="eastAsia" w:ascii="宋体" w:hAnsi="宋体" w:eastAsia="宋体" w:cs="宋体"/>
                <w:b/>
                <w:i w:val="0"/>
                <w:caps w:val="0"/>
                <w:color w:val="000000"/>
                <w:spacing w:val="0"/>
                <w:sz w:val="20"/>
                <w:szCs w:val="20"/>
                <w:shd w:val="clear" w:fill="FFFFFF"/>
              </w:rPr>
              <w:t>2017年分类目录：</w:t>
            </w:r>
            <w:r>
              <w:rPr>
                <w:rFonts w:hint="eastAsia" w:ascii="宋体" w:hAnsi="宋体" w:eastAsia="宋体" w:cs="宋体"/>
                <w:i w:val="0"/>
                <w:caps w:val="0"/>
                <w:color w:val="000000"/>
                <w:spacing w:val="0"/>
                <w:sz w:val="20"/>
                <w:szCs w:val="20"/>
                <w:shd w:val="clear" w:fill="FFFFFF"/>
              </w:rPr>
              <w:t>01有源手术器械，02无源手术器械，03神经和心血管手术器械，04骨科手术器械，05放射治疗器械，06医用成像器械，07医用诊察和监护器械，08呼吸、麻醉和急救器械，09物理治疗器械，10输血、透析和体外循环器械，11医疗器械消毒灭菌器械，12有源植入器械，13无源植入器械，14注输、护理和防护器械，15患者承载器械，16眼科器械，17口腔科器械，18妇产科、辅助生殖和避孕器械，19医用康复器械，20中医器械，21医用软件，22临床检验器械，6840体外诊断试剂（不需冷链运输、贮存）</w:t>
            </w:r>
          </w:p>
        </w:tc>
        <w:tc>
          <w:tcPr>
            <w:tcW w:w="1276" w:type="dxa"/>
            <w:tcBorders>
              <w:top w:val="single" w:color="auto" w:sz="4" w:space="0"/>
              <w:left w:val="single" w:color="auto" w:sz="4" w:space="0"/>
              <w:bottom w:val="single" w:color="auto" w:sz="4" w:space="0"/>
              <w:right w:val="single" w:color="auto" w:sz="4" w:space="0"/>
            </w:tcBorders>
            <w:vAlign w:val="center"/>
          </w:tcPr>
          <w:p w14:paraId="669A48B8">
            <w:pPr>
              <w:spacing w:line="0" w:lineRule="atLeast"/>
              <w:jc w:val="center"/>
            </w:pPr>
            <w:r>
              <w:rPr>
                <w:rFonts w:hint="eastAsia"/>
                <w:szCs w:val="21"/>
                <w:lang w:eastAsia="zh-CN"/>
              </w:rPr>
              <w:t>批发</w:t>
            </w:r>
          </w:p>
        </w:tc>
        <w:tc>
          <w:tcPr>
            <w:tcW w:w="1276" w:type="dxa"/>
            <w:tcBorders>
              <w:top w:val="single" w:color="auto" w:sz="4" w:space="0"/>
              <w:left w:val="single" w:color="auto" w:sz="4" w:space="0"/>
              <w:bottom w:val="single" w:color="auto" w:sz="4" w:space="0"/>
              <w:right w:val="single" w:color="auto" w:sz="4" w:space="0"/>
            </w:tcBorders>
            <w:vAlign w:val="center"/>
          </w:tcPr>
          <w:p w14:paraId="0465035A">
            <w:pPr>
              <w:spacing w:line="0" w:lineRule="atLeast"/>
              <w:jc w:val="center"/>
            </w:pPr>
            <w:r>
              <w:rPr>
                <w:rFonts w:hint="eastAsia"/>
                <w:szCs w:val="21"/>
                <w:lang w:val="en-US" w:eastAsia="zh-CN"/>
              </w:rPr>
              <w:t>2021.3.12</w:t>
            </w:r>
          </w:p>
        </w:tc>
      </w:tr>
      <w:tr w14:paraId="418626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14:paraId="412900AD">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14:paraId="7CA7B935">
            <w:pPr>
              <w:spacing w:line="0" w:lineRule="atLeast"/>
              <w:jc w:val="center"/>
            </w:pPr>
            <w:r>
              <w:rPr>
                <w:rFonts w:hint="eastAsia"/>
                <w:szCs w:val="21"/>
                <w:lang w:eastAsia="zh-CN"/>
              </w:rPr>
              <w:t>变更住所、经营场所</w:t>
            </w:r>
          </w:p>
        </w:tc>
        <w:tc>
          <w:tcPr>
            <w:tcW w:w="1481" w:type="dxa"/>
            <w:tcBorders>
              <w:top w:val="single" w:color="auto" w:sz="4" w:space="0"/>
              <w:left w:val="single" w:color="auto" w:sz="4" w:space="0"/>
              <w:bottom w:val="single" w:color="auto" w:sz="4" w:space="0"/>
              <w:right w:val="single" w:color="auto" w:sz="4" w:space="0"/>
            </w:tcBorders>
            <w:vAlign w:val="center"/>
          </w:tcPr>
          <w:p w14:paraId="5EC3BA88">
            <w:pPr>
              <w:spacing w:line="0" w:lineRule="atLeast"/>
              <w:jc w:val="center"/>
              <w:rPr>
                <w:szCs w:val="21"/>
              </w:rPr>
            </w:pPr>
            <w:r>
              <w:rPr>
                <w:rFonts w:hint="eastAsia"/>
                <w:szCs w:val="21"/>
              </w:rPr>
              <w:t>辽溪食药监械经营许20160053号</w:t>
            </w:r>
          </w:p>
        </w:tc>
        <w:tc>
          <w:tcPr>
            <w:tcW w:w="1418" w:type="dxa"/>
            <w:tcBorders>
              <w:top w:val="single" w:color="auto" w:sz="4" w:space="0"/>
              <w:left w:val="single" w:color="auto" w:sz="4" w:space="0"/>
              <w:bottom w:val="single" w:color="auto" w:sz="4" w:space="0"/>
              <w:right w:val="single" w:color="auto" w:sz="4" w:space="0"/>
            </w:tcBorders>
            <w:vAlign w:val="center"/>
          </w:tcPr>
          <w:p w14:paraId="34400416">
            <w:pPr>
              <w:jc w:val="left"/>
            </w:pPr>
            <w:r>
              <w:rPr>
                <w:rFonts w:hint="eastAsia"/>
                <w:szCs w:val="21"/>
              </w:rPr>
              <w:t>辽宁天士力大药房连锁有限公司本溪转山分店</w:t>
            </w:r>
          </w:p>
        </w:tc>
        <w:tc>
          <w:tcPr>
            <w:tcW w:w="2409" w:type="dxa"/>
            <w:tcBorders>
              <w:top w:val="single" w:color="auto" w:sz="4" w:space="0"/>
              <w:left w:val="single" w:color="auto" w:sz="4" w:space="0"/>
              <w:bottom w:val="single" w:color="auto" w:sz="4" w:space="0"/>
              <w:right w:val="single" w:color="auto" w:sz="4" w:space="0"/>
            </w:tcBorders>
            <w:vAlign w:val="center"/>
          </w:tcPr>
          <w:p w14:paraId="7652DFCE">
            <w:pPr>
              <w:spacing w:line="0" w:lineRule="atLeast"/>
              <w:jc w:val="center"/>
              <w:rPr>
                <w:szCs w:val="21"/>
              </w:rPr>
            </w:pPr>
            <w:r>
              <w:rPr>
                <w:rFonts w:hint="eastAsia"/>
                <w:color w:val="000000"/>
                <w:sz w:val="22"/>
                <w:shd w:val="clear" w:color="auto" w:fill="FFFFFF"/>
              </w:rPr>
              <w:t>本溪市平山区工人街道办事处第1座2层1-14号</w:t>
            </w:r>
          </w:p>
        </w:tc>
        <w:tc>
          <w:tcPr>
            <w:tcW w:w="5245" w:type="dxa"/>
            <w:tcBorders>
              <w:top w:val="single" w:color="auto" w:sz="4" w:space="0"/>
              <w:left w:val="single" w:color="auto" w:sz="4" w:space="0"/>
              <w:bottom w:val="single" w:color="auto" w:sz="4" w:space="0"/>
              <w:right w:val="single" w:color="auto" w:sz="4" w:space="0"/>
            </w:tcBorders>
            <w:vAlign w:val="center"/>
          </w:tcPr>
          <w:p w14:paraId="3356AAB9">
            <w:pPr>
              <w:spacing w:line="0" w:lineRule="atLeast"/>
              <w:jc w:val="center"/>
              <w:rPr>
                <w:sz w:val="13"/>
                <w:szCs w:val="13"/>
              </w:rPr>
            </w:pPr>
            <w:r>
              <w:rPr>
                <w:rFonts w:hint="eastAsia"/>
                <w:szCs w:val="21"/>
                <w:lang w:eastAsia="zh-CN"/>
              </w:rPr>
              <w:t>住所、经营场所变更为：本溪市平山区新欣街18栋1层1门</w:t>
            </w:r>
          </w:p>
        </w:tc>
        <w:tc>
          <w:tcPr>
            <w:tcW w:w="1276" w:type="dxa"/>
            <w:tcBorders>
              <w:top w:val="single" w:color="auto" w:sz="4" w:space="0"/>
              <w:left w:val="single" w:color="auto" w:sz="4" w:space="0"/>
              <w:bottom w:val="single" w:color="auto" w:sz="4" w:space="0"/>
              <w:right w:val="single" w:color="auto" w:sz="4" w:space="0"/>
            </w:tcBorders>
            <w:vAlign w:val="center"/>
          </w:tcPr>
          <w:p w14:paraId="169AD7D7">
            <w:pPr>
              <w:spacing w:line="0" w:lineRule="atLeast"/>
              <w:jc w:val="center"/>
              <w:rPr>
                <w:szCs w:val="21"/>
              </w:rPr>
            </w:pPr>
            <w:r>
              <w:rPr>
                <w:rFonts w:hint="eastAsia"/>
                <w:szCs w:val="21"/>
              </w:rPr>
              <w:t>零售</w:t>
            </w:r>
          </w:p>
        </w:tc>
        <w:tc>
          <w:tcPr>
            <w:tcW w:w="1276" w:type="dxa"/>
            <w:tcBorders>
              <w:top w:val="single" w:color="auto" w:sz="4" w:space="0"/>
              <w:left w:val="single" w:color="auto" w:sz="4" w:space="0"/>
              <w:bottom w:val="single" w:color="auto" w:sz="4" w:space="0"/>
              <w:right w:val="single" w:color="auto" w:sz="4" w:space="0"/>
            </w:tcBorders>
            <w:vAlign w:val="center"/>
          </w:tcPr>
          <w:p w14:paraId="7E94D00C">
            <w:pPr>
              <w:spacing w:line="0" w:lineRule="atLeast"/>
              <w:jc w:val="center"/>
              <w:rPr>
                <w:szCs w:val="21"/>
              </w:rPr>
            </w:pPr>
            <w:r>
              <w:rPr>
                <w:rFonts w:hint="eastAsia"/>
                <w:szCs w:val="21"/>
                <w:lang w:val="en-US" w:eastAsia="zh-CN"/>
              </w:rPr>
              <w:t>2021.3.12</w:t>
            </w:r>
          </w:p>
        </w:tc>
      </w:tr>
      <w:tr w14:paraId="26ED2D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14:paraId="2CBC57BB">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14:paraId="006293D5">
            <w:pPr>
              <w:spacing w:line="0" w:lineRule="atLeast"/>
              <w:rPr>
                <w:rFonts w:hint="eastAsia" w:ascii="Calibri" w:hAnsi="Calibri" w:eastAsia="宋体" w:cs="Times New Roman"/>
                <w:kern w:val="2"/>
                <w:sz w:val="21"/>
                <w:szCs w:val="22"/>
                <w:highlight w:val="yellow"/>
                <w:lang w:val="en-US" w:eastAsia="zh-CN" w:bidi="ar-SA"/>
              </w:rPr>
            </w:pPr>
            <w:r>
              <w:rPr>
                <w:rFonts w:hint="eastAsia"/>
                <w:szCs w:val="21"/>
                <w:lang w:eastAsia="zh-CN"/>
              </w:rPr>
              <w:t>变更经营范围</w:t>
            </w:r>
          </w:p>
        </w:tc>
        <w:tc>
          <w:tcPr>
            <w:tcW w:w="1481" w:type="dxa"/>
            <w:tcBorders>
              <w:top w:val="single" w:color="auto" w:sz="4" w:space="0"/>
              <w:left w:val="single" w:color="auto" w:sz="4" w:space="0"/>
              <w:bottom w:val="single" w:color="auto" w:sz="4" w:space="0"/>
              <w:right w:val="single" w:color="auto" w:sz="4" w:space="0"/>
            </w:tcBorders>
            <w:vAlign w:val="center"/>
          </w:tcPr>
          <w:p w14:paraId="75E0788F">
            <w:pPr>
              <w:jc w:val="center"/>
              <w:rPr>
                <w:rFonts w:hint="eastAsia" w:ascii="Calibri" w:hAnsi="Calibri" w:eastAsia="宋体" w:cs="Times New Roman"/>
                <w:color w:val="000000"/>
                <w:kern w:val="2"/>
                <w:sz w:val="21"/>
                <w:szCs w:val="21"/>
                <w:highlight w:val="yellow"/>
                <w:shd w:val="clear" w:color="auto" w:fill="FFFFFF"/>
                <w:lang w:val="en-US" w:eastAsia="zh-CN" w:bidi="ar-SA"/>
              </w:rPr>
            </w:pPr>
            <w:r>
              <w:rPr>
                <w:rFonts w:hint="eastAsia"/>
              </w:rPr>
              <w:t>辽溪食药监械经营许20160110号</w:t>
            </w:r>
          </w:p>
        </w:tc>
        <w:tc>
          <w:tcPr>
            <w:tcW w:w="1418" w:type="dxa"/>
            <w:tcBorders>
              <w:top w:val="single" w:color="auto" w:sz="4" w:space="0"/>
              <w:left w:val="single" w:color="auto" w:sz="4" w:space="0"/>
              <w:bottom w:val="single" w:color="auto" w:sz="4" w:space="0"/>
              <w:right w:val="single" w:color="auto" w:sz="4" w:space="0"/>
            </w:tcBorders>
            <w:vAlign w:val="center"/>
          </w:tcPr>
          <w:p w14:paraId="6BDDCA5B">
            <w:pPr>
              <w:jc w:val="left"/>
              <w:rPr>
                <w:rFonts w:hint="eastAsia" w:ascii="Calibri" w:hAnsi="Calibri" w:eastAsia="宋体" w:cs="Times New Roman"/>
                <w:kern w:val="2"/>
                <w:sz w:val="21"/>
                <w:szCs w:val="22"/>
                <w:highlight w:val="yellow"/>
                <w:lang w:val="en-US" w:eastAsia="zh-CN" w:bidi="ar-SA"/>
              </w:rPr>
            </w:pPr>
            <w:r>
              <w:rPr>
                <w:rFonts w:hint="eastAsia"/>
                <w:szCs w:val="21"/>
              </w:rPr>
              <w:t>本溪润桓商贸有限公司</w:t>
            </w:r>
          </w:p>
        </w:tc>
        <w:tc>
          <w:tcPr>
            <w:tcW w:w="2409" w:type="dxa"/>
            <w:tcBorders>
              <w:top w:val="single" w:color="auto" w:sz="4" w:space="0"/>
              <w:left w:val="single" w:color="auto" w:sz="4" w:space="0"/>
              <w:bottom w:val="single" w:color="auto" w:sz="4" w:space="0"/>
              <w:right w:val="single" w:color="auto" w:sz="4" w:space="0"/>
            </w:tcBorders>
            <w:vAlign w:val="center"/>
          </w:tcPr>
          <w:p w14:paraId="7AF97B62">
            <w:pPr>
              <w:spacing w:line="0" w:lineRule="atLeast"/>
              <w:jc w:val="center"/>
              <w:rPr>
                <w:rFonts w:hint="eastAsia" w:ascii="Calibri" w:hAnsi="Calibri" w:eastAsia="宋体" w:cs="Times New Roman"/>
                <w:color w:val="000000"/>
                <w:kern w:val="2"/>
                <w:sz w:val="21"/>
                <w:szCs w:val="21"/>
                <w:highlight w:val="yellow"/>
                <w:shd w:val="clear" w:color="auto" w:fill="FFFFFF"/>
                <w:lang w:val="en-US" w:eastAsia="zh-CN" w:bidi="ar-SA"/>
              </w:rPr>
            </w:pPr>
            <w:r>
              <w:rPr>
                <w:rFonts w:hint="eastAsia"/>
                <w:color w:val="000000"/>
                <w:sz w:val="22"/>
                <w:shd w:val="clear" w:color="auto" w:fill="FFFFFF"/>
              </w:rPr>
              <w:t>辽宁省本溪市桓仁满族自治县桓仁镇向阳街29组30幢0单元2号</w:t>
            </w:r>
          </w:p>
        </w:tc>
        <w:tc>
          <w:tcPr>
            <w:tcW w:w="5245" w:type="dxa"/>
            <w:tcBorders>
              <w:top w:val="single" w:color="auto" w:sz="4" w:space="0"/>
              <w:left w:val="single" w:color="auto" w:sz="4" w:space="0"/>
              <w:bottom w:val="single" w:color="auto" w:sz="4" w:space="0"/>
              <w:right w:val="single" w:color="auto" w:sz="4" w:space="0"/>
            </w:tcBorders>
            <w:vAlign w:val="center"/>
          </w:tcPr>
          <w:p w14:paraId="00B056A8">
            <w:pPr>
              <w:spacing w:line="0" w:lineRule="atLeast"/>
              <w:jc w:val="center"/>
              <w:rPr>
                <w:rFonts w:hint="eastAsia" w:ascii="宋体" w:hAnsi="宋体" w:eastAsia="宋体" w:cs="宋体"/>
                <w:i w:val="0"/>
                <w:caps w:val="0"/>
                <w:color w:val="000000"/>
                <w:spacing w:val="0"/>
                <w:sz w:val="20"/>
                <w:szCs w:val="20"/>
                <w:shd w:val="clear" w:fill="FFFFFF"/>
              </w:rPr>
            </w:pPr>
            <w:r>
              <w:rPr>
                <w:rFonts w:hint="eastAsia"/>
                <w:szCs w:val="21"/>
                <w:lang w:eastAsia="zh-CN"/>
              </w:rPr>
              <w:t>经营范围变更为：</w:t>
            </w:r>
            <w:r>
              <w:rPr>
                <w:rFonts w:hint="eastAsia" w:ascii="宋体" w:hAnsi="宋体" w:eastAsia="宋体" w:cs="宋体"/>
                <w:b/>
                <w:i w:val="0"/>
                <w:caps w:val="0"/>
                <w:color w:val="000000"/>
                <w:spacing w:val="0"/>
                <w:sz w:val="20"/>
                <w:szCs w:val="20"/>
                <w:shd w:val="clear" w:fill="FFFFFF"/>
              </w:rPr>
              <w:t>2002年分类目录</w:t>
            </w:r>
            <w:r>
              <w:rPr>
                <w:rFonts w:hint="eastAsia" w:ascii="宋体" w:hAnsi="宋体" w:cs="宋体"/>
                <w:b/>
                <w:i w:val="0"/>
                <w:caps w:val="0"/>
                <w:color w:val="000000"/>
                <w:spacing w:val="0"/>
                <w:sz w:val="20"/>
                <w:szCs w:val="20"/>
                <w:shd w:val="clear" w:fill="FFFFFF"/>
                <w:lang w:eastAsia="zh-CN"/>
              </w:rPr>
              <w:t>：</w:t>
            </w:r>
            <w:r>
              <w:rPr>
                <w:rFonts w:hint="eastAsia" w:ascii="宋体" w:hAnsi="宋体" w:eastAsia="宋体" w:cs="宋体"/>
                <w:i w:val="0"/>
                <w:caps w:val="0"/>
                <w:color w:val="000000"/>
                <w:spacing w:val="0"/>
                <w:sz w:val="20"/>
                <w:szCs w:val="20"/>
                <w:shd w:val="clear" w:fill="FFFFFF"/>
              </w:rPr>
              <w:t>6815注射穿刺器械，6821医用电子仪器设备，6822医用光学器具、仪器及内窥镜设备，6823医用超声仪器及有关设备，6825医用高频仪器设备，6830医用X射线设备，6831医用X射线附属设备及部件，6845体外循环及血液处理设备，6846植入材料和人工器官，6854手术室、急救室、诊疗室设备及器具，6855口腔科设备及器具，6863口腔科材料，6864医用卫生材料及敷料，6865医用缝合材料及粘合剂，6866医用高分子材料及制品，6877介入器材</w:t>
            </w:r>
          </w:p>
          <w:p w14:paraId="34AC4A89">
            <w:pPr>
              <w:spacing w:line="0" w:lineRule="atLeast"/>
              <w:jc w:val="center"/>
              <w:rPr>
                <w:rFonts w:hint="eastAsia" w:ascii="Calibri" w:hAnsi="Calibri" w:eastAsia="宋体" w:cs="Times New Roman"/>
                <w:bCs/>
                <w:color w:val="000000"/>
                <w:kern w:val="2"/>
                <w:sz w:val="15"/>
                <w:szCs w:val="15"/>
                <w:highlight w:val="yellow"/>
                <w:shd w:val="clear" w:color="auto" w:fill="FFFFFF"/>
                <w:lang w:val="en-US" w:eastAsia="zh-CN" w:bidi="ar-SA"/>
              </w:rPr>
            </w:pPr>
            <w:r>
              <w:rPr>
                <w:rFonts w:hint="eastAsia" w:ascii="宋体" w:hAnsi="宋体" w:eastAsia="宋体" w:cs="宋体"/>
                <w:b/>
                <w:i w:val="0"/>
                <w:caps w:val="0"/>
                <w:color w:val="000000"/>
                <w:spacing w:val="0"/>
                <w:sz w:val="20"/>
                <w:szCs w:val="20"/>
                <w:shd w:val="clear" w:fill="FFFFFF"/>
              </w:rPr>
              <w:t>200</w:t>
            </w:r>
            <w:r>
              <w:rPr>
                <w:rFonts w:hint="eastAsia" w:ascii="宋体" w:hAnsi="宋体" w:cs="宋体"/>
                <w:b/>
                <w:i w:val="0"/>
                <w:caps w:val="0"/>
                <w:color w:val="000000"/>
                <w:spacing w:val="0"/>
                <w:sz w:val="20"/>
                <w:szCs w:val="20"/>
                <w:shd w:val="clear" w:fill="FFFFFF"/>
                <w:lang w:val="en-US" w:eastAsia="zh-CN"/>
              </w:rPr>
              <w:t>7</w:t>
            </w:r>
            <w:r>
              <w:rPr>
                <w:rFonts w:hint="eastAsia" w:ascii="宋体" w:hAnsi="宋体" w:eastAsia="宋体" w:cs="宋体"/>
                <w:b/>
                <w:i w:val="0"/>
                <w:caps w:val="0"/>
                <w:color w:val="000000"/>
                <w:spacing w:val="0"/>
                <w:sz w:val="20"/>
                <w:szCs w:val="20"/>
                <w:shd w:val="clear" w:fill="FFFFFF"/>
              </w:rPr>
              <w:t>年分类目录</w:t>
            </w:r>
            <w:r>
              <w:rPr>
                <w:rFonts w:hint="eastAsia" w:ascii="宋体" w:hAnsi="宋体" w:cs="宋体"/>
                <w:b/>
                <w:i w:val="0"/>
                <w:caps w:val="0"/>
                <w:color w:val="000000"/>
                <w:spacing w:val="0"/>
                <w:sz w:val="20"/>
                <w:szCs w:val="20"/>
                <w:shd w:val="clear" w:fill="FFFFFF"/>
                <w:lang w:eastAsia="zh-CN"/>
              </w:rPr>
              <w:t>：</w:t>
            </w:r>
            <w:r>
              <w:rPr>
                <w:rFonts w:hint="eastAsia" w:ascii="宋体" w:hAnsi="宋体" w:eastAsia="宋体" w:cs="宋体"/>
                <w:i w:val="0"/>
                <w:caps w:val="0"/>
                <w:color w:val="000000"/>
                <w:spacing w:val="0"/>
                <w:sz w:val="20"/>
                <w:szCs w:val="20"/>
                <w:shd w:val="clear" w:fill="FFFFFF"/>
              </w:rPr>
              <w:t>01有源手术器械，02无源手术器械，03神经和心血管手术器械，05放射治疗器械，06医用成像器械，07医用诊察和监护器械，08呼吸、麻醉和急救器械，09物理治疗器械，10输血、透析和体外循环器械，12有源植入器械，13无源植入器械，14注输、护理和防护器械，16眼科器械，17口腔科器械，18妇产科、辅助生殖和避孕器械，22临床检验器械</w:t>
            </w:r>
          </w:p>
        </w:tc>
        <w:tc>
          <w:tcPr>
            <w:tcW w:w="1276" w:type="dxa"/>
            <w:tcBorders>
              <w:top w:val="single" w:color="auto" w:sz="4" w:space="0"/>
              <w:left w:val="single" w:color="auto" w:sz="4" w:space="0"/>
              <w:bottom w:val="single" w:color="auto" w:sz="4" w:space="0"/>
              <w:right w:val="single" w:color="auto" w:sz="4" w:space="0"/>
            </w:tcBorders>
            <w:vAlign w:val="center"/>
          </w:tcPr>
          <w:p w14:paraId="1C1A7A85">
            <w:pPr>
              <w:spacing w:line="0" w:lineRule="atLeast"/>
              <w:jc w:val="center"/>
              <w:rPr>
                <w:rFonts w:hint="eastAsia" w:ascii="Calibri" w:hAnsi="Calibri" w:eastAsia="宋体" w:cs="Times New Roman"/>
                <w:color w:val="000000"/>
                <w:kern w:val="2"/>
                <w:sz w:val="21"/>
                <w:szCs w:val="21"/>
                <w:highlight w:val="yellow"/>
                <w:shd w:val="clear" w:color="auto" w:fill="FFFFFF"/>
                <w:lang w:val="en-US" w:eastAsia="zh-CN" w:bidi="ar-SA"/>
              </w:rPr>
            </w:pPr>
            <w:r>
              <w:rPr>
                <w:rFonts w:hint="eastAsia"/>
                <w:szCs w:val="21"/>
              </w:rPr>
              <w:t>批发</w:t>
            </w:r>
          </w:p>
        </w:tc>
        <w:tc>
          <w:tcPr>
            <w:tcW w:w="1276" w:type="dxa"/>
            <w:tcBorders>
              <w:top w:val="single" w:color="auto" w:sz="4" w:space="0"/>
              <w:left w:val="single" w:color="auto" w:sz="4" w:space="0"/>
              <w:bottom w:val="single" w:color="auto" w:sz="4" w:space="0"/>
              <w:right w:val="single" w:color="auto" w:sz="4" w:space="0"/>
            </w:tcBorders>
            <w:vAlign w:val="center"/>
          </w:tcPr>
          <w:p w14:paraId="3D609592">
            <w:pPr>
              <w:spacing w:line="0" w:lineRule="atLeast"/>
              <w:jc w:val="center"/>
              <w:rPr>
                <w:rFonts w:hint="eastAsia" w:ascii="Calibri" w:hAnsi="Calibri" w:eastAsia="宋体" w:cs="Times New Roman"/>
                <w:kern w:val="2"/>
                <w:sz w:val="21"/>
                <w:szCs w:val="21"/>
                <w:highlight w:val="none"/>
                <w:lang w:val="en-US" w:eastAsia="zh-CN" w:bidi="ar-SA"/>
              </w:rPr>
            </w:pPr>
            <w:r>
              <w:rPr>
                <w:rFonts w:hint="eastAsia"/>
                <w:szCs w:val="21"/>
                <w:lang w:val="en-US" w:eastAsia="zh-CN"/>
              </w:rPr>
              <w:t>2021.3.18</w:t>
            </w:r>
          </w:p>
        </w:tc>
      </w:tr>
      <w:tr w14:paraId="431EC5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14:paraId="71B42C47">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14:paraId="1ED35832">
            <w:pPr>
              <w:spacing w:line="0" w:lineRule="atLeast"/>
              <w:rPr>
                <w:rFonts w:hint="eastAsia"/>
                <w:szCs w:val="21"/>
                <w:lang w:eastAsia="zh-CN"/>
              </w:rPr>
            </w:pPr>
            <w:r>
              <w:rPr>
                <w:rFonts w:hint="eastAsia"/>
                <w:szCs w:val="21"/>
                <w:lang w:eastAsia="zh-CN"/>
              </w:rPr>
              <w:t>变更经营范围</w:t>
            </w:r>
          </w:p>
        </w:tc>
        <w:tc>
          <w:tcPr>
            <w:tcW w:w="1481" w:type="dxa"/>
            <w:tcBorders>
              <w:top w:val="single" w:color="auto" w:sz="4" w:space="0"/>
              <w:left w:val="single" w:color="auto" w:sz="4" w:space="0"/>
              <w:bottom w:val="single" w:color="auto" w:sz="4" w:space="0"/>
              <w:right w:val="single" w:color="auto" w:sz="4" w:space="0"/>
            </w:tcBorders>
            <w:vAlign w:val="center"/>
          </w:tcPr>
          <w:p w14:paraId="68DCFBF5">
            <w:pPr>
              <w:jc w:val="center"/>
              <w:rPr>
                <w:rFonts w:hint="eastAsia"/>
                <w:szCs w:val="21"/>
              </w:rPr>
            </w:pPr>
            <w:r>
              <w:rPr>
                <w:rFonts w:hint="eastAsia"/>
              </w:rPr>
              <w:t>辽溪食药监械经营许20170011号</w:t>
            </w:r>
          </w:p>
        </w:tc>
        <w:tc>
          <w:tcPr>
            <w:tcW w:w="1418" w:type="dxa"/>
            <w:tcBorders>
              <w:top w:val="single" w:color="auto" w:sz="4" w:space="0"/>
              <w:left w:val="single" w:color="auto" w:sz="4" w:space="0"/>
              <w:bottom w:val="single" w:color="auto" w:sz="4" w:space="0"/>
              <w:right w:val="single" w:color="auto" w:sz="4" w:space="0"/>
            </w:tcBorders>
            <w:vAlign w:val="center"/>
          </w:tcPr>
          <w:p w14:paraId="2A8E5BCD">
            <w:pPr>
              <w:jc w:val="left"/>
              <w:rPr>
                <w:rFonts w:hint="eastAsia"/>
                <w:szCs w:val="21"/>
              </w:rPr>
            </w:pPr>
            <w:r>
              <w:rPr>
                <w:rFonts w:hint="eastAsia"/>
                <w:szCs w:val="21"/>
              </w:rPr>
              <w:t>本溪市欣远恒医疗器械有限公司</w:t>
            </w:r>
          </w:p>
        </w:tc>
        <w:tc>
          <w:tcPr>
            <w:tcW w:w="2409" w:type="dxa"/>
            <w:tcBorders>
              <w:top w:val="single" w:color="auto" w:sz="4" w:space="0"/>
              <w:left w:val="single" w:color="auto" w:sz="4" w:space="0"/>
              <w:bottom w:val="single" w:color="auto" w:sz="4" w:space="0"/>
              <w:right w:val="single" w:color="auto" w:sz="4" w:space="0"/>
            </w:tcBorders>
            <w:vAlign w:val="center"/>
          </w:tcPr>
          <w:p w14:paraId="1A526831">
            <w:pPr>
              <w:spacing w:line="0" w:lineRule="atLeast"/>
              <w:jc w:val="center"/>
              <w:rPr>
                <w:rFonts w:hint="eastAsia"/>
                <w:color w:val="000000"/>
                <w:sz w:val="22"/>
                <w:shd w:val="clear" w:color="auto" w:fill="FFFFFF"/>
              </w:rPr>
            </w:pPr>
            <w:r>
              <w:rPr>
                <w:rFonts w:hint="eastAsia"/>
                <w:color w:val="000000"/>
                <w:sz w:val="22"/>
                <w:shd w:val="clear" w:color="auto" w:fill="FFFFFF"/>
              </w:rPr>
              <w:t>辽宁省本溪市平山区解放南路139C栋-1层1号</w:t>
            </w:r>
          </w:p>
        </w:tc>
        <w:tc>
          <w:tcPr>
            <w:tcW w:w="5245" w:type="dxa"/>
            <w:tcBorders>
              <w:top w:val="single" w:color="auto" w:sz="4" w:space="0"/>
              <w:left w:val="single" w:color="auto" w:sz="4" w:space="0"/>
              <w:bottom w:val="single" w:color="auto" w:sz="4" w:space="0"/>
              <w:right w:val="single" w:color="auto" w:sz="4" w:space="0"/>
            </w:tcBorders>
            <w:vAlign w:val="center"/>
          </w:tcPr>
          <w:p w14:paraId="7C6664AA">
            <w:pPr>
              <w:spacing w:line="0" w:lineRule="atLeast"/>
              <w:jc w:val="center"/>
              <w:rPr>
                <w:rFonts w:hint="eastAsia"/>
                <w:szCs w:val="21"/>
                <w:lang w:eastAsia="zh-CN"/>
              </w:rPr>
            </w:pPr>
            <w:r>
              <w:rPr>
                <w:rFonts w:hint="eastAsia"/>
                <w:szCs w:val="21"/>
                <w:lang w:eastAsia="zh-CN"/>
              </w:rPr>
              <w:t>经营范围变更为：</w:t>
            </w:r>
            <w:r>
              <w:rPr>
                <w:rFonts w:hint="eastAsia" w:ascii="宋体" w:hAnsi="宋体" w:eastAsia="宋体" w:cs="宋体"/>
                <w:b/>
                <w:bCs/>
                <w:i w:val="0"/>
                <w:iCs w:val="0"/>
                <w:caps w:val="0"/>
                <w:color w:val="000000"/>
                <w:spacing w:val="0"/>
                <w:sz w:val="20"/>
                <w:szCs w:val="20"/>
                <w:shd w:val="clear" w:fill="FFFFFF"/>
              </w:rPr>
              <w:t>2002年分类目录：</w:t>
            </w:r>
            <w:r>
              <w:rPr>
                <w:rFonts w:hint="eastAsia" w:ascii="宋体" w:hAnsi="宋体" w:eastAsia="宋体" w:cs="宋体"/>
                <w:i w:val="0"/>
                <w:iCs w:val="0"/>
                <w:caps w:val="0"/>
                <w:color w:val="000000"/>
                <w:spacing w:val="0"/>
                <w:sz w:val="20"/>
                <w:szCs w:val="20"/>
                <w:shd w:val="clear" w:fill="FFFFFF"/>
              </w:rPr>
              <w:t>6801基础外科手术器械，6802显微外科手术器械，6803神经外科手术器械，6804眼科手术器械，6805耳鼻喉科手术器械，6806口腔科手术器械，6807胸腔心血管外科手术器械，6808腹部外科手术器械，6809泌尿肛肠外科手术器械，6810矫形外科（骨科）手术器械，6812妇产科用手术器械，6813计划生育手术器械，6815注射穿刺器械，6816烧伤(整形)科手术器械，6820普通诊察器械，6821医用电子仪器设备，6822医用光学器具、仪器及内窥镜设备，6823医用超声仪器及有关设备，6824医用激光仪器设备，6825医用高频仪器设备，6826物理治疗及康复设备，6827中医器械，6828医用磁共振设备，6830医用X射线设备，6831医用X射线附属设备及部件，6832医用高能射线设备，6834医用射线防护用品、装置，6840临床检验分析仪器及诊断试剂（诊断试剂需低温冷藏运输贮存），6841医用化验和基础设备器具，6845体外循环及血液处理设备，6846植入材料和人工器官，6854手术室、急救室、诊疗室设备及器具，6855口腔科设备及器具，6856病房护理设备及器具，6857消毒和灭菌设备及器具，6858医用冷疗、低温、冷藏设备及器具，6863口腔科材料，6864医用卫生材料及敷料，6865医用缝合材料及粘合剂，6866医用高分子材料及制品，6870软 件，6877介入器材</w:t>
            </w:r>
            <w:r>
              <w:rPr>
                <w:rFonts w:hint="eastAsia" w:ascii="宋体" w:hAnsi="宋体" w:eastAsia="宋体" w:cs="宋体"/>
                <w:i w:val="0"/>
                <w:iCs w:val="0"/>
                <w:caps w:val="0"/>
                <w:color w:val="000000"/>
                <w:spacing w:val="0"/>
                <w:sz w:val="20"/>
                <w:szCs w:val="20"/>
                <w:shd w:val="clear" w:fill="FFFFFF"/>
              </w:rPr>
              <w:br w:type="textWrapping"/>
            </w:r>
            <w:r>
              <w:rPr>
                <w:rFonts w:hint="eastAsia" w:ascii="宋体" w:hAnsi="宋体" w:eastAsia="宋体" w:cs="宋体"/>
                <w:b/>
                <w:bCs/>
                <w:i w:val="0"/>
                <w:iCs w:val="0"/>
                <w:caps w:val="0"/>
                <w:color w:val="000000"/>
                <w:spacing w:val="0"/>
                <w:sz w:val="20"/>
                <w:szCs w:val="20"/>
                <w:shd w:val="clear" w:fill="FFFFFF"/>
              </w:rPr>
              <w:t>2017年分类目录：</w:t>
            </w:r>
            <w:r>
              <w:rPr>
                <w:rFonts w:hint="eastAsia" w:ascii="宋体" w:hAnsi="宋体" w:eastAsia="宋体" w:cs="宋体"/>
                <w:i w:val="0"/>
                <w:iCs w:val="0"/>
                <w:caps w:val="0"/>
                <w:color w:val="000000"/>
                <w:spacing w:val="0"/>
                <w:sz w:val="20"/>
                <w:szCs w:val="20"/>
                <w:shd w:val="clear" w:fill="FFFFFF"/>
              </w:rPr>
              <w:t>01有源手术器械，02无源手术器械，03神经和心血管手术器械，04骨科手术器械，05放射治疗器械，06医用成像器械，07医用诊察和监护器械，08呼吸、麻醉和急救器械，09物理治疗器械，10输血、透析和体外循环器械，11医疗器械消毒灭菌器械，12有源植入器械，13无源植入器械，14注输、护理和防护器械，15患者承载器械，16眼科器械，17口腔科器械，18妇产科、辅助生殖和避孕器械，19医用康复器械，20中医器械，21医用软件，22临床检验器械，6840体外诊断试剂</w:t>
            </w:r>
          </w:p>
        </w:tc>
        <w:tc>
          <w:tcPr>
            <w:tcW w:w="1276" w:type="dxa"/>
            <w:tcBorders>
              <w:top w:val="single" w:color="auto" w:sz="4" w:space="0"/>
              <w:left w:val="single" w:color="auto" w:sz="4" w:space="0"/>
              <w:bottom w:val="single" w:color="auto" w:sz="4" w:space="0"/>
              <w:right w:val="single" w:color="auto" w:sz="4" w:space="0"/>
            </w:tcBorders>
            <w:vAlign w:val="center"/>
          </w:tcPr>
          <w:p w14:paraId="4C1D65B3">
            <w:pPr>
              <w:spacing w:line="0" w:lineRule="atLeast"/>
              <w:jc w:val="center"/>
              <w:rPr>
                <w:rFonts w:hint="eastAsia"/>
                <w:szCs w:val="21"/>
              </w:rPr>
            </w:pPr>
            <w:r>
              <w:rPr>
                <w:rFonts w:hint="eastAsia"/>
                <w:szCs w:val="21"/>
              </w:rPr>
              <w:t>批发</w:t>
            </w:r>
          </w:p>
        </w:tc>
        <w:tc>
          <w:tcPr>
            <w:tcW w:w="1276" w:type="dxa"/>
            <w:tcBorders>
              <w:top w:val="single" w:color="auto" w:sz="4" w:space="0"/>
              <w:left w:val="single" w:color="auto" w:sz="4" w:space="0"/>
              <w:bottom w:val="single" w:color="auto" w:sz="4" w:space="0"/>
              <w:right w:val="single" w:color="auto" w:sz="4" w:space="0"/>
            </w:tcBorders>
            <w:vAlign w:val="center"/>
          </w:tcPr>
          <w:p w14:paraId="06BD2A7A">
            <w:pPr>
              <w:spacing w:line="0" w:lineRule="atLeast"/>
              <w:jc w:val="center"/>
              <w:rPr>
                <w:rFonts w:hint="eastAsia"/>
                <w:szCs w:val="21"/>
                <w:lang w:val="en-US" w:eastAsia="zh-CN"/>
              </w:rPr>
            </w:pPr>
            <w:r>
              <w:rPr>
                <w:rFonts w:hint="eastAsia"/>
                <w:szCs w:val="21"/>
                <w:lang w:val="en-US" w:eastAsia="zh-CN"/>
              </w:rPr>
              <w:t>2021.3.26</w:t>
            </w:r>
          </w:p>
        </w:tc>
      </w:tr>
      <w:tr w14:paraId="1DA753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433" w:type="dxa"/>
            <w:tcBorders>
              <w:top w:val="single" w:color="auto" w:sz="4" w:space="0"/>
              <w:left w:val="single" w:color="auto" w:sz="4" w:space="0"/>
              <w:bottom w:val="single" w:color="auto" w:sz="4" w:space="0"/>
              <w:right w:val="single" w:color="auto" w:sz="4" w:space="0"/>
            </w:tcBorders>
            <w:vAlign w:val="center"/>
          </w:tcPr>
          <w:p w14:paraId="3FF13F05">
            <w:pPr>
              <w:pStyle w:val="10"/>
              <w:numPr>
                <w:ilvl w:val="0"/>
                <w:numId w:val="1"/>
              </w:numPr>
              <w:spacing w:line="0" w:lineRule="atLeast"/>
              <w:ind w:firstLineChars="0"/>
              <w:jc w:val="center"/>
              <w:rPr>
                <w:rFonts w:ascii="宋体" w:hAnsi="宋体"/>
                <w:szCs w:val="21"/>
              </w:rPr>
            </w:pPr>
          </w:p>
        </w:tc>
        <w:tc>
          <w:tcPr>
            <w:tcW w:w="856" w:type="dxa"/>
            <w:tcBorders>
              <w:top w:val="single" w:color="auto" w:sz="4" w:space="0"/>
              <w:left w:val="single" w:color="auto" w:sz="4" w:space="0"/>
              <w:bottom w:val="single" w:color="auto" w:sz="4" w:space="0"/>
              <w:right w:val="single" w:color="auto" w:sz="4" w:space="0"/>
            </w:tcBorders>
            <w:vAlign w:val="center"/>
          </w:tcPr>
          <w:p w14:paraId="0B81A5E6">
            <w:pPr>
              <w:spacing w:line="0" w:lineRule="atLeast"/>
              <w:rPr>
                <w:rFonts w:hint="eastAsia"/>
                <w:szCs w:val="21"/>
                <w:lang w:eastAsia="zh-CN"/>
              </w:rPr>
            </w:pPr>
            <w:r>
              <w:rPr>
                <w:rFonts w:hint="eastAsia"/>
                <w:szCs w:val="21"/>
                <w:lang w:eastAsia="zh-CN"/>
              </w:rPr>
              <w:t>变更经营范围</w:t>
            </w:r>
          </w:p>
        </w:tc>
        <w:tc>
          <w:tcPr>
            <w:tcW w:w="1481" w:type="dxa"/>
            <w:tcBorders>
              <w:top w:val="single" w:color="auto" w:sz="4" w:space="0"/>
              <w:left w:val="single" w:color="auto" w:sz="4" w:space="0"/>
              <w:bottom w:val="single" w:color="auto" w:sz="4" w:space="0"/>
              <w:right w:val="single" w:color="auto" w:sz="4" w:space="0"/>
            </w:tcBorders>
            <w:vAlign w:val="center"/>
          </w:tcPr>
          <w:p w14:paraId="64CCCF76">
            <w:pPr>
              <w:jc w:val="center"/>
              <w:rPr>
                <w:rFonts w:hint="eastAsia"/>
                <w:szCs w:val="21"/>
              </w:rPr>
            </w:pPr>
            <w:r>
              <w:rPr>
                <w:rFonts w:hint="eastAsia"/>
              </w:rPr>
              <w:t>辽溪食药监械经营许20170228号</w:t>
            </w:r>
          </w:p>
        </w:tc>
        <w:tc>
          <w:tcPr>
            <w:tcW w:w="1418" w:type="dxa"/>
            <w:tcBorders>
              <w:top w:val="single" w:color="auto" w:sz="4" w:space="0"/>
              <w:left w:val="single" w:color="auto" w:sz="4" w:space="0"/>
              <w:bottom w:val="single" w:color="auto" w:sz="4" w:space="0"/>
              <w:right w:val="single" w:color="auto" w:sz="4" w:space="0"/>
            </w:tcBorders>
            <w:vAlign w:val="center"/>
          </w:tcPr>
          <w:p w14:paraId="74A339F2">
            <w:pPr>
              <w:jc w:val="left"/>
              <w:rPr>
                <w:rFonts w:hint="eastAsia"/>
                <w:szCs w:val="21"/>
              </w:rPr>
            </w:pPr>
            <w:r>
              <w:rPr>
                <w:rFonts w:hint="eastAsia" w:ascii="宋体" w:hAnsi="宋体" w:eastAsia="宋体" w:cs="宋体"/>
                <w:i w:val="0"/>
                <w:iCs w:val="0"/>
                <w:caps w:val="0"/>
                <w:color w:val="000000"/>
                <w:spacing w:val="0"/>
                <w:sz w:val="24"/>
                <w:szCs w:val="24"/>
                <w:shd w:val="clear" w:fill="FFFFFF"/>
              </w:rPr>
              <w:t>本溪恒泰商贸有限公司</w:t>
            </w:r>
          </w:p>
        </w:tc>
        <w:tc>
          <w:tcPr>
            <w:tcW w:w="2409" w:type="dxa"/>
            <w:tcBorders>
              <w:top w:val="single" w:color="auto" w:sz="4" w:space="0"/>
              <w:left w:val="single" w:color="auto" w:sz="4" w:space="0"/>
              <w:bottom w:val="single" w:color="auto" w:sz="4" w:space="0"/>
              <w:right w:val="single" w:color="auto" w:sz="4" w:space="0"/>
            </w:tcBorders>
            <w:vAlign w:val="center"/>
          </w:tcPr>
          <w:p w14:paraId="00536FF4">
            <w:pPr>
              <w:spacing w:line="0" w:lineRule="atLeast"/>
              <w:jc w:val="center"/>
              <w:rPr>
                <w:rFonts w:hint="eastAsia"/>
                <w:color w:val="000000"/>
                <w:sz w:val="22"/>
                <w:shd w:val="clear" w:color="auto" w:fill="FFFFFF"/>
              </w:rPr>
            </w:pPr>
            <w:r>
              <w:rPr>
                <w:rFonts w:hint="eastAsia"/>
                <w:color w:val="000000"/>
                <w:sz w:val="25"/>
                <w:szCs w:val="25"/>
                <w:shd w:val="clear" w:color="auto" w:fill="FFFFFF"/>
              </w:rPr>
              <w:t>辽宁省本溪</w:t>
            </w:r>
            <w:bookmarkStart w:id="0" w:name="_GoBack"/>
            <w:bookmarkEnd w:id="0"/>
            <w:r>
              <w:rPr>
                <w:rFonts w:hint="eastAsia"/>
                <w:color w:val="000000"/>
                <w:sz w:val="25"/>
                <w:szCs w:val="25"/>
                <w:shd w:val="clear" w:color="auto" w:fill="FFFFFF"/>
              </w:rPr>
              <w:t>满族自治县南甸镇沟口街1-167-7</w:t>
            </w:r>
          </w:p>
        </w:tc>
        <w:tc>
          <w:tcPr>
            <w:tcW w:w="5245" w:type="dxa"/>
            <w:tcBorders>
              <w:top w:val="single" w:color="auto" w:sz="4" w:space="0"/>
              <w:left w:val="single" w:color="auto" w:sz="4" w:space="0"/>
              <w:bottom w:val="single" w:color="auto" w:sz="4" w:space="0"/>
              <w:right w:val="single" w:color="auto" w:sz="4" w:space="0"/>
            </w:tcBorders>
            <w:vAlign w:val="center"/>
          </w:tcPr>
          <w:p w14:paraId="44958831">
            <w:pPr>
              <w:spacing w:line="0" w:lineRule="atLeast"/>
              <w:jc w:val="center"/>
              <w:rPr>
                <w:rFonts w:hint="eastAsia" w:ascii="宋体" w:hAnsi="宋体" w:eastAsia="宋体" w:cs="宋体"/>
                <w:i w:val="0"/>
                <w:iCs w:val="0"/>
                <w:caps w:val="0"/>
                <w:color w:val="000000"/>
                <w:spacing w:val="0"/>
                <w:sz w:val="20"/>
                <w:szCs w:val="20"/>
                <w:shd w:val="clear" w:fill="FFFFFF"/>
              </w:rPr>
            </w:pPr>
            <w:r>
              <w:rPr>
                <w:rFonts w:hint="eastAsia"/>
                <w:szCs w:val="21"/>
                <w:lang w:eastAsia="zh-CN"/>
              </w:rPr>
              <w:t>经营范围变更为：</w:t>
            </w:r>
            <w:r>
              <w:rPr>
                <w:rFonts w:hint="eastAsia" w:ascii="宋体" w:hAnsi="宋体" w:eastAsia="宋体" w:cs="宋体"/>
                <w:b/>
                <w:bCs/>
                <w:i w:val="0"/>
                <w:iCs w:val="0"/>
                <w:caps w:val="0"/>
                <w:color w:val="000000"/>
                <w:spacing w:val="0"/>
                <w:sz w:val="20"/>
                <w:szCs w:val="20"/>
                <w:shd w:val="clear" w:fill="FFFFFF"/>
              </w:rPr>
              <w:t>2002年分类目录</w:t>
            </w:r>
            <w:r>
              <w:rPr>
                <w:rFonts w:hint="eastAsia" w:ascii="宋体" w:hAnsi="宋体" w:cs="宋体"/>
                <w:b/>
                <w:bCs/>
                <w:i w:val="0"/>
                <w:iCs w:val="0"/>
                <w:caps w:val="0"/>
                <w:color w:val="000000"/>
                <w:spacing w:val="0"/>
                <w:sz w:val="20"/>
                <w:szCs w:val="20"/>
                <w:shd w:val="clear" w:fill="FFFFFF"/>
                <w:lang w:eastAsia="zh-CN"/>
              </w:rPr>
              <w:t>：</w:t>
            </w:r>
            <w:r>
              <w:rPr>
                <w:rFonts w:hint="eastAsia" w:ascii="宋体" w:hAnsi="宋体" w:eastAsia="宋体" w:cs="宋体"/>
                <w:i w:val="0"/>
                <w:iCs w:val="0"/>
                <w:caps w:val="0"/>
                <w:color w:val="000000"/>
                <w:spacing w:val="0"/>
                <w:sz w:val="20"/>
                <w:szCs w:val="20"/>
                <w:shd w:val="clear" w:fill="FFFFFF"/>
              </w:rPr>
              <w:t>6815注射穿刺器械，6821医用电子仪器设备，6822医用光学器具、仪器及内窥镜设备，6825医用高频仪器设备，6826物理治疗及康复设备，6828医用磁共振设备，6830医用X射线设备，6840临床检验分析仪器及诊断试剂（诊断试剂需低温冷藏运输贮存），6845体外循环及血液处理设备，6854手术室、急救室、诊疗室设备及器具，6864医用卫生材料及敷料，6866医用高分子材料及制品，6877介入器材</w:t>
            </w:r>
          </w:p>
          <w:p w14:paraId="486A08B4">
            <w:pPr>
              <w:spacing w:line="0" w:lineRule="atLeast"/>
              <w:jc w:val="center"/>
              <w:rPr>
                <w:rFonts w:hint="eastAsia"/>
                <w:szCs w:val="21"/>
                <w:lang w:eastAsia="zh-CN"/>
              </w:rPr>
            </w:pPr>
            <w:r>
              <w:rPr>
                <w:rFonts w:hint="eastAsia" w:ascii="宋体" w:hAnsi="宋体" w:eastAsia="宋体" w:cs="宋体"/>
                <w:b/>
                <w:bCs/>
                <w:i w:val="0"/>
                <w:iCs w:val="0"/>
                <w:caps w:val="0"/>
                <w:color w:val="000000"/>
                <w:spacing w:val="0"/>
                <w:sz w:val="20"/>
                <w:szCs w:val="20"/>
                <w:shd w:val="clear" w:fill="FFFFFF"/>
              </w:rPr>
              <w:t>2017年分类目录：</w:t>
            </w:r>
            <w:r>
              <w:rPr>
                <w:rFonts w:hint="eastAsia" w:ascii="宋体" w:hAnsi="宋体" w:eastAsia="宋体" w:cs="宋体"/>
                <w:i w:val="0"/>
                <w:iCs w:val="0"/>
                <w:caps w:val="0"/>
                <w:color w:val="000000"/>
                <w:spacing w:val="0"/>
                <w:sz w:val="20"/>
                <w:szCs w:val="20"/>
                <w:shd w:val="clear" w:fill="FFFFFF"/>
              </w:rPr>
              <w:t>01有源手术器械，02无源手术器械，03神经和心血管手术器械，04骨科手术器械，05放射治疗器械，06医用成像器械，07医用诊察和监护器械，08呼吸、麻醉和急救器械，09物理治疗器械，10输血、透析和体外循环器械，13无源植入器械，14注输、护理和防护器械，15患者承载器械，16眼科器械，18妇产科、辅助生殖和避孕器械，19医用康复器械，22临床检验器械，6840体外诊断试剂</w:t>
            </w:r>
          </w:p>
        </w:tc>
        <w:tc>
          <w:tcPr>
            <w:tcW w:w="1276" w:type="dxa"/>
            <w:tcBorders>
              <w:top w:val="single" w:color="auto" w:sz="4" w:space="0"/>
              <w:left w:val="single" w:color="auto" w:sz="4" w:space="0"/>
              <w:bottom w:val="single" w:color="auto" w:sz="4" w:space="0"/>
              <w:right w:val="single" w:color="auto" w:sz="4" w:space="0"/>
            </w:tcBorders>
            <w:vAlign w:val="center"/>
          </w:tcPr>
          <w:p w14:paraId="39EF2767">
            <w:pPr>
              <w:spacing w:line="0" w:lineRule="atLeast"/>
              <w:jc w:val="center"/>
              <w:rPr>
                <w:rFonts w:hint="eastAsia"/>
                <w:szCs w:val="21"/>
              </w:rPr>
            </w:pPr>
            <w:r>
              <w:rPr>
                <w:rFonts w:hint="eastAsia"/>
                <w:szCs w:val="21"/>
              </w:rPr>
              <w:t>批发</w:t>
            </w:r>
          </w:p>
        </w:tc>
        <w:tc>
          <w:tcPr>
            <w:tcW w:w="1276" w:type="dxa"/>
            <w:tcBorders>
              <w:top w:val="single" w:color="auto" w:sz="4" w:space="0"/>
              <w:left w:val="single" w:color="auto" w:sz="4" w:space="0"/>
              <w:bottom w:val="single" w:color="auto" w:sz="4" w:space="0"/>
              <w:right w:val="single" w:color="auto" w:sz="4" w:space="0"/>
            </w:tcBorders>
            <w:vAlign w:val="center"/>
          </w:tcPr>
          <w:p w14:paraId="7FE58F1F">
            <w:pPr>
              <w:spacing w:line="0" w:lineRule="atLeast"/>
              <w:jc w:val="center"/>
              <w:rPr>
                <w:rFonts w:hint="eastAsia"/>
                <w:szCs w:val="21"/>
                <w:lang w:val="en-US" w:eastAsia="zh-CN"/>
              </w:rPr>
            </w:pPr>
            <w:r>
              <w:rPr>
                <w:rFonts w:hint="eastAsia"/>
                <w:szCs w:val="21"/>
                <w:lang w:val="en-US" w:eastAsia="zh-CN"/>
              </w:rPr>
              <w:t>2021.3.26</w:t>
            </w:r>
          </w:p>
        </w:tc>
      </w:tr>
    </w:tbl>
    <w:p w14:paraId="30CD7455">
      <w:pPr>
        <w:spacing w:line="0" w:lineRule="atLeast"/>
        <w:rPr>
          <w:rFonts w:ascii="宋体" w:hAnsi="宋体"/>
          <w:szCs w:val="21"/>
        </w:rPr>
      </w:pPr>
    </w:p>
    <w:p w14:paraId="12FCB11D">
      <w:pPr>
        <w:rPr>
          <w:rFonts w:ascii="宋体" w:hAnsi="宋体"/>
          <w:sz w:val="44"/>
        </w:rPr>
      </w:pPr>
      <w:r>
        <w:rPr>
          <w:rFonts w:hint="eastAsia" w:ascii="宋体" w:hAnsi="宋体"/>
          <w:sz w:val="44"/>
        </w:rPr>
        <w:t xml:space="preserve">                                    (202</w:t>
      </w:r>
      <w:r>
        <w:rPr>
          <w:rFonts w:hint="eastAsia" w:ascii="宋体" w:hAnsi="宋体"/>
          <w:sz w:val="44"/>
          <w:lang w:val="en-US" w:eastAsia="zh-CN"/>
        </w:rPr>
        <w:t>1</w:t>
      </w:r>
      <w:r>
        <w:rPr>
          <w:rFonts w:hint="eastAsia" w:ascii="宋体" w:hAnsi="宋体"/>
          <w:sz w:val="44"/>
        </w:rPr>
        <w:t>.</w:t>
      </w:r>
      <w:r>
        <w:rPr>
          <w:rFonts w:hint="eastAsia" w:ascii="宋体" w:hAnsi="宋体"/>
          <w:sz w:val="44"/>
          <w:lang w:val="en-US" w:eastAsia="zh-CN"/>
        </w:rPr>
        <w:t>3</w:t>
      </w:r>
      <w:r>
        <w:rPr>
          <w:rFonts w:hint="eastAsia" w:ascii="宋体" w:hAnsi="宋体"/>
          <w:sz w:val="44"/>
        </w:rPr>
        <w:t>.1-20</w:t>
      </w:r>
      <w:r>
        <w:rPr>
          <w:rFonts w:hint="eastAsia" w:ascii="宋体" w:hAnsi="宋体"/>
          <w:sz w:val="44"/>
          <w:lang w:val="en-US" w:eastAsia="zh-CN"/>
        </w:rPr>
        <w:t>21</w:t>
      </w:r>
      <w:r>
        <w:rPr>
          <w:rFonts w:hint="eastAsia" w:ascii="宋体" w:hAnsi="宋体"/>
          <w:sz w:val="44"/>
        </w:rPr>
        <w:t>.</w:t>
      </w:r>
      <w:r>
        <w:rPr>
          <w:rFonts w:hint="eastAsia" w:ascii="宋体" w:hAnsi="宋体"/>
          <w:sz w:val="44"/>
          <w:lang w:val="en-US" w:eastAsia="zh-CN"/>
        </w:rPr>
        <w:t>3</w:t>
      </w:r>
      <w:r>
        <w:rPr>
          <w:rFonts w:hint="eastAsia" w:ascii="宋体" w:hAnsi="宋体"/>
          <w:sz w:val="44"/>
        </w:rPr>
        <w:t>.</w:t>
      </w:r>
      <w:r>
        <w:rPr>
          <w:rFonts w:hint="eastAsia" w:ascii="宋体" w:hAnsi="宋体"/>
          <w:sz w:val="44"/>
          <w:lang w:val="en-US" w:eastAsia="zh-CN"/>
        </w:rPr>
        <w:t>31</w:t>
      </w:r>
      <w:r>
        <w:rPr>
          <w:rFonts w:hint="eastAsia" w:ascii="宋体" w:hAnsi="宋体"/>
          <w:sz w:val="44"/>
        </w:rPr>
        <w:t>)</w:t>
      </w:r>
    </w:p>
    <w:p w14:paraId="1BC8C382">
      <w:pPr>
        <w:jc w:val="cente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6D7106"/>
    <w:multiLevelType w:val="multilevel"/>
    <w:tmpl w:val="136D710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E5ACB"/>
    <w:rsid w:val="00002289"/>
    <w:rsid w:val="00055856"/>
    <w:rsid w:val="0006399D"/>
    <w:rsid w:val="00087070"/>
    <w:rsid w:val="0009004F"/>
    <w:rsid w:val="000A52D9"/>
    <w:rsid w:val="000B3CF9"/>
    <w:rsid w:val="001779D7"/>
    <w:rsid w:val="001C33DC"/>
    <w:rsid w:val="001D2691"/>
    <w:rsid w:val="00256742"/>
    <w:rsid w:val="002B211B"/>
    <w:rsid w:val="002C33D8"/>
    <w:rsid w:val="002D1AB5"/>
    <w:rsid w:val="002D4197"/>
    <w:rsid w:val="002F1AA4"/>
    <w:rsid w:val="00303E1B"/>
    <w:rsid w:val="0030561A"/>
    <w:rsid w:val="0034472B"/>
    <w:rsid w:val="003469B3"/>
    <w:rsid w:val="00393CDE"/>
    <w:rsid w:val="003B6DEF"/>
    <w:rsid w:val="003C174F"/>
    <w:rsid w:val="003C24DD"/>
    <w:rsid w:val="003C2732"/>
    <w:rsid w:val="003E32C6"/>
    <w:rsid w:val="003F0C4B"/>
    <w:rsid w:val="00402E2B"/>
    <w:rsid w:val="004215E1"/>
    <w:rsid w:val="004275D4"/>
    <w:rsid w:val="00444EC1"/>
    <w:rsid w:val="00455722"/>
    <w:rsid w:val="00474DAE"/>
    <w:rsid w:val="0047731B"/>
    <w:rsid w:val="004D0645"/>
    <w:rsid w:val="004E31CE"/>
    <w:rsid w:val="004F257D"/>
    <w:rsid w:val="004F7778"/>
    <w:rsid w:val="00505070"/>
    <w:rsid w:val="00507765"/>
    <w:rsid w:val="00532FE3"/>
    <w:rsid w:val="00555F08"/>
    <w:rsid w:val="00562781"/>
    <w:rsid w:val="005763A5"/>
    <w:rsid w:val="00593DF4"/>
    <w:rsid w:val="00620894"/>
    <w:rsid w:val="0062370E"/>
    <w:rsid w:val="0062649B"/>
    <w:rsid w:val="006579FB"/>
    <w:rsid w:val="006678BF"/>
    <w:rsid w:val="00693791"/>
    <w:rsid w:val="006A554C"/>
    <w:rsid w:val="006A5559"/>
    <w:rsid w:val="006C0E02"/>
    <w:rsid w:val="00716B96"/>
    <w:rsid w:val="00716D2C"/>
    <w:rsid w:val="007E5D4B"/>
    <w:rsid w:val="007F34C4"/>
    <w:rsid w:val="00815598"/>
    <w:rsid w:val="00816F9B"/>
    <w:rsid w:val="008369CF"/>
    <w:rsid w:val="008413F4"/>
    <w:rsid w:val="0086104E"/>
    <w:rsid w:val="008745C5"/>
    <w:rsid w:val="00894DB3"/>
    <w:rsid w:val="008A64F8"/>
    <w:rsid w:val="008A68E8"/>
    <w:rsid w:val="008B529E"/>
    <w:rsid w:val="009152B0"/>
    <w:rsid w:val="00924087"/>
    <w:rsid w:val="00956C68"/>
    <w:rsid w:val="009625E3"/>
    <w:rsid w:val="00970347"/>
    <w:rsid w:val="0098112A"/>
    <w:rsid w:val="00995CD9"/>
    <w:rsid w:val="00A55AB5"/>
    <w:rsid w:val="00AB31ED"/>
    <w:rsid w:val="00AC654F"/>
    <w:rsid w:val="00AD52CE"/>
    <w:rsid w:val="00B0113C"/>
    <w:rsid w:val="00B21E38"/>
    <w:rsid w:val="00B47BFD"/>
    <w:rsid w:val="00B71CC3"/>
    <w:rsid w:val="00BB52F7"/>
    <w:rsid w:val="00BC2D5D"/>
    <w:rsid w:val="00BC6E95"/>
    <w:rsid w:val="00BD4428"/>
    <w:rsid w:val="00C05566"/>
    <w:rsid w:val="00C278A7"/>
    <w:rsid w:val="00C3065C"/>
    <w:rsid w:val="00C52C27"/>
    <w:rsid w:val="00C85556"/>
    <w:rsid w:val="00C86B2F"/>
    <w:rsid w:val="00CC62EA"/>
    <w:rsid w:val="00D37A5B"/>
    <w:rsid w:val="00D61CF5"/>
    <w:rsid w:val="00D903FF"/>
    <w:rsid w:val="00DF3432"/>
    <w:rsid w:val="00E0611D"/>
    <w:rsid w:val="00E6743C"/>
    <w:rsid w:val="00E71DB9"/>
    <w:rsid w:val="00E7213B"/>
    <w:rsid w:val="00E91FCD"/>
    <w:rsid w:val="00EA7362"/>
    <w:rsid w:val="00EC6085"/>
    <w:rsid w:val="00ED7EAD"/>
    <w:rsid w:val="00EE5ACB"/>
    <w:rsid w:val="00EF4FE3"/>
    <w:rsid w:val="00F408EF"/>
    <w:rsid w:val="00F51F46"/>
    <w:rsid w:val="00F527A4"/>
    <w:rsid w:val="00F771C7"/>
    <w:rsid w:val="00F82D73"/>
    <w:rsid w:val="00F930BC"/>
    <w:rsid w:val="00F93EFD"/>
    <w:rsid w:val="00FF2773"/>
    <w:rsid w:val="05C377EF"/>
    <w:rsid w:val="072D7EF0"/>
    <w:rsid w:val="0AEE4B23"/>
    <w:rsid w:val="11431F59"/>
    <w:rsid w:val="15AC23BB"/>
    <w:rsid w:val="173330FF"/>
    <w:rsid w:val="25396D3F"/>
    <w:rsid w:val="2E8349CC"/>
    <w:rsid w:val="35FE11C2"/>
    <w:rsid w:val="3A245912"/>
    <w:rsid w:val="3F930BFD"/>
    <w:rsid w:val="467711E1"/>
    <w:rsid w:val="4761416F"/>
    <w:rsid w:val="49AC3173"/>
    <w:rsid w:val="54545BA4"/>
    <w:rsid w:val="54A77184"/>
    <w:rsid w:val="66894493"/>
    <w:rsid w:val="6B31217B"/>
    <w:rsid w:val="6F4009E9"/>
    <w:rsid w:val="76BA32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customStyle="1" w:styleId="7">
    <w:name w:val="列出段落1"/>
    <w:basedOn w:val="1"/>
    <w:qFormat/>
    <w:uiPriority w:val="34"/>
    <w:pPr>
      <w:ind w:firstLine="420" w:firstLineChars="200"/>
    </w:pPr>
    <w:rPr>
      <w:rFonts w:ascii="Times New Roman" w:hAnsi="Times New Roman"/>
      <w:szCs w:val="24"/>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 w:type="paragraph" w:customStyle="1" w:styleId="10">
    <w:name w:val="列出段落2"/>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5</Pages>
  <Words>2478</Words>
  <Characters>3001</Characters>
  <Lines>9</Lines>
  <Paragraphs>2</Paragraphs>
  <TotalTime>0</TotalTime>
  <ScaleCrop>false</ScaleCrop>
  <LinksUpToDate>false</LinksUpToDate>
  <CharactersWithSpaces>3122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2019-03-08T05:33:00Z</dcterms:created>
  <dc:creator>lenovo</dc:creator>
  <cp:lastModifiedBy>NTKO</cp:lastModifiedBy>
  <cp:lastPrinted>2018-10-18T01:15:00Z</cp:lastPrinted>
  <dcterms:modified xsi:type="dcterms:W3CDTF">2025-07-22T03:08:10Z</dcterms:modified>
  <dc:title>2018年第三类医疗器械经营许可（变更）登记表</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CA3BB2E53C624F40BCA62E4F65B30084</vt:lpwstr>
  </property>
  <property fmtid="{D5CDD505-2E9C-101B-9397-08002B2CF9AE}" pid="4" name="KSOTemplateDocerSaveRecord">
    <vt:lpwstr>eyJoZGlkIjoiNzg2MGYxMGRiY2ZkOTAwNzVjZTIzNzY3M2YzNDM0ZDAiLCJ1c2VySWQiOiI1NzIwMzU5ODgifQ==</vt:lpwstr>
  </property>
</Properties>
</file>