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2246B">
      <w:pPr>
        <w:rPr>
          <w:rFonts w:hint="eastAsia" w:ascii="方正小标宋简体" w:eastAsia="方正小标宋简体"/>
          <w:sz w:val="36"/>
          <w:szCs w:val="36"/>
        </w:rPr>
      </w:pPr>
      <w:r>
        <w:rPr>
          <w:rFonts w:hint="eastAsia"/>
        </w:rPr>
        <w:t xml:space="preserve">                               </w:t>
      </w:r>
      <w:r>
        <w:rPr>
          <w:rFonts w:hint="eastAsia" w:ascii="方正小标宋简体" w:eastAsia="方正小标宋简体"/>
          <w:sz w:val="36"/>
          <w:szCs w:val="36"/>
        </w:rPr>
        <w:t xml:space="preserve"> 2024年</w:t>
      </w:r>
      <w:r>
        <w:rPr>
          <w:rFonts w:hint="eastAsia" w:ascii="方正小标宋简体" w:eastAsia="方正小标宋简体"/>
          <w:sz w:val="36"/>
          <w:szCs w:val="36"/>
          <w:lang w:val="en-US" w:eastAsia="zh-CN"/>
        </w:rPr>
        <w:t>食品生产经营</w:t>
      </w:r>
      <w:r>
        <w:rPr>
          <w:rFonts w:hint="eastAsia" w:ascii="方正小标宋简体" w:eastAsia="方正小标宋简体"/>
          <w:sz w:val="36"/>
          <w:szCs w:val="36"/>
        </w:rPr>
        <w:t>行政处罚案件信息公示</w:t>
      </w:r>
    </w:p>
    <w:p w14:paraId="23C68881">
      <w:pPr>
        <w:rPr>
          <w:rFonts w:hint="eastAsia"/>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3828"/>
        <w:gridCol w:w="6193"/>
        <w:gridCol w:w="1319"/>
        <w:gridCol w:w="1414"/>
        <w:gridCol w:w="571"/>
      </w:tblGrid>
      <w:tr w14:paraId="2207EC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6A555727">
            <w:pPr>
              <w:jc w:val="center"/>
              <w:rPr>
                <w:rFonts w:hint="eastAsia" w:ascii="方正小标宋简体" w:eastAsia="方正小标宋简体"/>
                <w:szCs w:val="21"/>
              </w:rPr>
            </w:pPr>
            <w:r>
              <w:rPr>
                <w:rFonts w:hint="eastAsia" w:ascii="方正小标宋简体" w:eastAsia="方正小标宋简体"/>
                <w:szCs w:val="21"/>
              </w:rPr>
              <w:t>序号</w:t>
            </w:r>
          </w:p>
        </w:tc>
        <w:tc>
          <w:tcPr>
            <w:tcW w:w="3828" w:type="dxa"/>
            <w:vAlign w:val="center"/>
          </w:tcPr>
          <w:p w14:paraId="127314EC">
            <w:pPr>
              <w:jc w:val="center"/>
              <w:rPr>
                <w:rFonts w:hint="eastAsia" w:ascii="方正小标宋简体" w:eastAsia="方正小标宋简体"/>
                <w:szCs w:val="21"/>
              </w:rPr>
            </w:pPr>
            <w:r>
              <w:rPr>
                <w:rFonts w:hint="eastAsia" w:ascii="方正小标宋简体" w:eastAsia="方正小标宋简体"/>
                <w:szCs w:val="21"/>
              </w:rPr>
              <w:t>单位名称</w:t>
            </w:r>
          </w:p>
        </w:tc>
        <w:tc>
          <w:tcPr>
            <w:tcW w:w="6193" w:type="dxa"/>
            <w:vAlign w:val="center"/>
          </w:tcPr>
          <w:p w14:paraId="7975B3DD">
            <w:pPr>
              <w:jc w:val="center"/>
              <w:rPr>
                <w:rFonts w:hint="eastAsia" w:ascii="方正小标宋简体" w:eastAsia="方正小标宋简体"/>
                <w:szCs w:val="21"/>
              </w:rPr>
            </w:pPr>
            <w:r>
              <w:rPr>
                <w:rFonts w:hint="eastAsia" w:ascii="方正小标宋简体" w:eastAsia="方正小标宋简体"/>
                <w:szCs w:val="21"/>
              </w:rPr>
              <w:t>案件名称</w:t>
            </w:r>
          </w:p>
        </w:tc>
        <w:tc>
          <w:tcPr>
            <w:tcW w:w="1319" w:type="dxa"/>
            <w:vAlign w:val="center"/>
          </w:tcPr>
          <w:p w14:paraId="539AE4C2">
            <w:pPr>
              <w:jc w:val="center"/>
              <w:rPr>
                <w:rFonts w:hint="eastAsia" w:ascii="方正小标宋简体" w:eastAsia="方正小标宋简体"/>
                <w:szCs w:val="21"/>
              </w:rPr>
            </w:pPr>
            <w:r>
              <w:rPr>
                <w:rFonts w:hint="eastAsia" w:ascii="方正小标宋简体" w:eastAsia="方正小标宋简体"/>
                <w:szCs w:val="21"/>
              </w:rPr>
              <w:t>罚没额</w:t>
            </w:r>
            <w:r>
              <w:rPr>
                <w:rFonts w:hint="eastAsia" w:ascii="方正小标宋简体" w:eastAsia="方正小标宋简体"/>
                <w:sz w:val="18"/>
                <w:szCs w:val="18"/>
              </w:rPr>
              <w:t>（万元）</w:t>
            </w:r>
          </w:p>
        </w:tc>
        <w:tc>
          <w:tcPr>
            <w:tcW w:w="1414" w:type="dxa"/>
            <w:vAlign w:val="center"/>
          </w:tcPr>
          <w:p w14:paraId="63A3F140">
            <w:pPr>
              <w:jc w:val="center"/>
              <w:rPr>
                <w:rFonts w:hint="eastAsia" w:ascii="方正小标宋简体" w:eastAsia="方正小标宋简体"/>
                <w:szCs w:val="21"/>
              </w:rPr>
            </w:pPr>
            <w:r>
              <w:rPr>
                <w:rFonts w:hint="eastAsia" w:ascii="方正小标宋简体" w:eastAsia="方正小标宋简体"/>
                <w:szCs w:val="21"/>
              </w:rPr>
              <w:t>行政处罚</w:t>
            </w:r>
          </w:p>
          <w:p w14:paraId="7B027158">
            <w:pPr>
              <w:jc w:val="center"/>
              <w:rPr>
                <w:rFonts w:hint="eastAsia" w:ascii="方正小标宋简体" w:eastAsia="方正小标宋简体"/>
                <w:szCs w:val="21"/>
              </w:rPr>
            </w:pPr>
            <w:r>
              <w:rPr>
                <w:rFonts w:hint="eastAsia" w:ascii="方正小标宋简体" w:eastAsia="方正小标宋简体"/>
                <w:szCs w:val="21"/>
              </w:rPr>
              <w:t>决定日期</w:t>
            </w:r>
          </w:p>
        </w:tc>
        <w:tc>
          <w:tcPr>
            <w:tcW w:w="571" w:type="dxa"/>
            <w:vAlign w:val="center"/>
          </w:tcPr>
          <w:p w14:paraId="1027A9BB">
            <w:pPr>
              <w:jc w:val="center"/>
              <w:rPr>
                <w:rFonts w:hint="eastAsia" w:ascii="方正小标宋简体" w:eastAsia="方正小标宋简体"/>
                <w:szCs w:val="21"/>
              </w:rPr>
            </w:pPr>
            <w:r>
              <w:rPr>
                <w:rFonts w:hint="eastAsia" w:ascii="方正小标宋简体" w:eastAsia="方正小标宋简体"/>
                <w:szCs w:val="21"/>
              </w:rPr>
              <w:t>备注</w:t>
            </w:r>
          </w:p>
        </w:tc>
      </w:tr>
      <w:tr w14:paraId="5C08AB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2FE967EB">
            <w:pPr>
              <w:jc w:val="center"/>
              <w:rPr>
                <w:rFonts w:hint="eastAsia" w:ascii="仿宋_GB2312" w:eastAsia="仿宋_GB2312"/>
                <w:color w:val="000000" w:themeColor="text1"/>
                <w:szCs w:val="21"/>
              </w:rPr>
            </w:pPr>
            <w:r>
              <w:rPr>
                <w:rFonts w:hint="eastAsia" w:ascii="仿宋_GB2312" w:eastAsia="仿宋_GB2312"/>
                <w:color w:val="000000" w:themeColor="text1"/>
                <w:szCs w:val="21"/>
              </w:rPr>
              <w:t>1</w:t>
            </w:r>
          </w:p>
        </w:tc>
        <w:tc>
          <w:tcPr>
            <w:tcW w:w="3828" w:type="dxa"/>
            <w:vAlign w:val="center"/>
          </w:tcPr>
          <w:p w14:paraId="3EF1C69F">
            <w:pPr>
              <w:rPr>
                <w:rFonts w:hint="eastAsia" w:ascii="仿宋" w:hAnsi="仿宋" w:eastAsia="仿宋" w:cs="仿宋"/>
                <w:color w:val="000000" w:themeColor="text1"/>
                <w:szCs w:val="21"/>
              </w:rPr>
            </w:pPr>
            <w:r>
              <w:rPr>
                <w:rFonts w:hint="eastAsia" w:ascii="仿宋" w:hAnsi="仿宋" w:eastAsia="仿宋" w:cs="仿宋"/>
                <w:i w:val="0"/>
                <w:iCs w:val="0"/>
                <w:color w:val="000000"/>
                <w:kern w:val="0"/>
                <w:sz w:val="24"/>
                <w:szCs w:val="24"/>
                <w:u w:val="none"/>
                <w:lang w:val="en-US" w:eastAsia="zh-CN" w:bidi="ar"/>
              </w:rPr>
              <w:t>辽宁华联商厦有限公司超市站前店</w:t>
            </w:r>
          </w:p>
        </w:tc>
        <w:tc>
          <w:tcPr>
            <w:tcW w:w="6193" w:type="dxa"/>
            <w:shd w:val="clear"/>
            <w:vAlign w:val="center"/>
          </w:tcPr>
          <w:p w14:paraId="0385BF6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辽宁华联商厦有限公司超市站前店经营超过保质期食品（伊利牌马苏里拉奶酪）案</w:t>
            </w:r>
          </w:p>
        </w:tc>
        <w:tc>
          <w:tcPr>
            <w:tcW w:w="1319" w:type="dxa"/>
            <w:vAlign w:val="center"/>
          </w:tcPr>
          <w:p w14:paraId="2A48EE3E">
            <w:pPr>
              <w:keepNext w:val="0"/>
              <w:keepLines w:val="0"/>
              <w:widowControl/>
              <w:suppressLineNumbers w:val="0"/>
              <w:jc w:val="center"/>
              <w:textAlignment w:val="center"/>
              <w:rPr>
                <w:rFonts w:hint="eastAsia" w:ascii="仿宋" w:hAnsi="仿宋" w:eastAsia="仿宋" w:cs="仿宋"/>
                <w:color w:val="000000" w:themeColor="text1"/>
                <w:szCs w:val="21"/>
              </w:rPr>
            </w:pPr>
            <w:r>
              <w:rPr>
                <w:rFonts w:hint="eastAsia" w:ascii="仿宋" w:hAnsi="仿宋" w:eastAsia="仿宋" w:cs="仿宋"/>
                <w:i w:val="0"/>
                <w:iCs w:val="0"/>
                <w:color w:val="000000"/>
                <w:kern w:val="0"/>
                <w:sz w:val="24"/>
                <w:szCs w:val="24"/>
                <w:u w:val="none"/>
                <w:lang w:val="en-US" w:eastAsia="zh-CN" w:bidi="ar"/>
              </w:rPr>
              <w:t>0.5</w:t>
            </w:r>
          </w:p>
        </w:tc>
        <w:tc>
          <w:tcPr>
            <w:tcW w:w="1414" w:type="dxa"/>
            <w:vAlign w:val="center"/>
          </w:tcPr>
          <w:p w14:paraId="2ECCB167">
            <w:pPr>
              <w:keepNext w:val="0"/>
              <w:keepLines w:val="0"/>
              <w:widowControl/>
              <w:suppressLineNumbers w:val="0"/>
              <w:jc w:val="center"/>
              <w:textAlignment w:val="center"/>
              <w:rPr>
                <w:rFonts w:hint="eastAsia" w:ascii="仿宋" w:hAnsi="仿宋" w:eastAsia="仿宋" w:cs="仿宋"/>
                <w:color w:val="000000" w:themeColor="text1"/>
                <w:szCs w:val="21"/>
              </w:rPr>
            </w:pPr>
            <w:r>
              <w:rPr>
                <w:rFonts w:hint="eastAsia" w:ascii="仿宋" w:hAnsi="仿宋" w:eastAsia="仿宋" w:cs="仿宋"/>
                <w:i w:val="0"/>
                <w:iCs w:val="0"/>
                <w:color w:val="000000"/>
                <w:kern w:val="0"/>
                <w:sz w:val="24"/>
                <w:szCs w:val="24"/>
                <w:u w:val="none"/>
                <w:lang w:val="en-US" w:eastAsia="zh-CN" w:bidi="ar"/>
              </w:rPr>
              <w:t>2024.1.10</w:t>
            </w:r>
          </w:p>
        </w:tc>
        <w:tc>
          <w:tcPr>
            <w:tcW w:w="571" w:type="dxa"/>
          </w:tcPr>
          <w:p w14:paraId="42C845C3">
            <w:pPr>
              <w:rPr>
                <w:rFonts w:hint="eastAsia" w:ascii="仿宋_GB2312" w:eastAsia="仿宋_GB2312"/>
                <w:color w:val="000000" w:themeColor="text1"/>
                <w:szCs w:val="21"/>
              </w:rPr>
            </w:pPr>
          </w:p>
        </w:tc>
      </w:tr>
      <w:tr w14:paraId="6289CF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45D82496">
            <w:pPr>
              <w:jc w:val="center"/>
              <w:rPr>
                <w:rFonts w:hint="eastAsia" w:ascii="仿宋_GB2312" w:eastAsia="仿宋_GB2312"/>
                <w:color w:val="000000" w:themeColor="text1"/>
                <w:szCs w:val="21"/>
              </w:rPr>
            </w:pPr>
            <w:r>
              <w:rPr>
                <w:rFonts w:hint="eastAsia" w:ascii="仿宋_GB2312" w:eastAsia="仿宋_GB2312"/>
                <w:color w:val="000000" w:themeColor="text1"/>
                <w:szCs w:val="21"/>
              </w:rPr>
              <w:t>2</w:t>
            </w:r>
          </w:p>
        </w:tc>
        <w:tc>
          <w:tcPr>
            <w:tcW w:w="3828" w:type="dxa"/>
            <w:vAlign w:val="center"/>
          </w:tcPr>
          <w:p w14:paraId="39DBFB7C">
            <w:pPr>
              <w:rPr>
                <w:rFonts w:hint="eastAsia" w:ascii="仿宋" w:hAnsi="仿宋" w:eastAsia="仿宋" w:cs="仿宋"/>
                <w:color w:val="000000" w:themeColor="text1"/>
                <w:szCs w:val="21"/>
              </w:rPr>
            </w:pPr>
            <w:r>
              <w:rPr>
                <w:rFonts w:hint="eastAsia" w:ascii="仿宋" w:hAnsi="仿宋" w:eastAsia="仿宋" w:cs="仿宋"/>
                <w:i w:val="0"/>
                <w:iCs w:val="0"/>
                <w:color w:val="000000"/>
                <w:kern w:val="0"/>
                <w:sz w:val="24"/>
                <w:szCs w:val="24"/>
                <w:u w:val="none"/>
                <w:lang w:val="en-US" w:eastAsia="zh-CN" w:bidi="ar"/>
              </w:rPr>
              <w:t>平山区万品生活超市店</w:t>
            </w:r>
          </w:p>
        </w:tc>
        <w:tc>
          <w:tcPr>
            <w:tcW w:w="6193" w:type="dxa"/>
            <w:shd w:val="clear"/>
            <w:vAlign w:val="center"/>
          </w:tcPr>
          <w:p w14:paraId="351008D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平山区万品生活超市店经营食品标签</w:t>
            </w:r>
            <w:bookmarkStart w:id="0" w:name="_GoBack"/>
            <w:bookmarkEnd w:id="0"/>
            <w:r>
              <w:rPr>
                <w:rFonts w:hint="eastAsia" w:ascii="仿宋" w:hAnsi="仿宋" w:eastAsia="仿宋" w:cs="仿宋"/>
                <w:i w:val="0"/>
                <w:iCs w:val="0"/>
                <w:color w:val="000000"/>
                <w:kern w:val="0"/>
                <w:sz w:val="24"/>
                <w:szCs w:val="24"/>
                <w:u w:val="none"/>
                <w:lang w:val="en-US" w:eastAsia="zh-CN" w:bidi="ar"/>
              </w:rPr>
              <w:t>不符合规定的食品（麦巢无蔗糖月饼）案</w:t>
            </w:r>
          </w:p>
        </w:tc>
        <w:tc>
          <w:tcPr>
            <w:tcW w:w="1319" w:type="dxa"/>
            <w:vAlign w:val="center"/>
          </w:tcPr>
          <w:p w14:paraId="149A70A2">
            <w:pPr>
              <w:keepNext w:val="0"/>
              <w:keepLines w:val="0"/>
              <w:widowControl/>
              <w:suppressLineNumbers w:val="0"/>
              <w:jc w:val="center"/>
              <w:textAlignment w:val="center"/>
              <w:rPr>
                <w:rFonts w:hint="eastAsia" w:ascii="仿宋" w:hAnsi="仿宋" w:eastAsia="仿宋" w:cs="仿宋"/>
                <w:color w:val="000000" w:themeColor="text1"/>
                <w:szCs w:val="21"/>
              </w:rPr>
            </w:pPr>
            <w:r>
              <w:rPr>
                <w:rFonts w:hint="eastAsia" w:ascii="仿宋" w:hAnsi="仿宋" w:eastAsia="仿宋" w:cs="仿宋"/>
                <w:i w:val="0"/>
                <w:iCs w:val="0"/>
                <w:color w:val="000000"/>
                <w:kern w:val="0"/>
                <w:sz w:val="24"/>
                <w:szCs w:val="24"/>
                <w:u w:val="none"/>
                <w:lang w:val="en-US" w:eastAsia="zh-CN" w:bidi="ar"/>
              </w:rPr>
              <w:t>0.079</w:t>
            </w:r>
          </w:p>
        </w:tc>
        <w:tc>
          <w:tcPr>
            <w:tcW w:w="1414" w:type="dxa"/>
            <w:vAlign w:val="center"/>
          </w:tcPr>
          <w:p w14:paraId="5978D276">
            <w:pPr>
              <w:keepNext w:val="0"/>
              <w:keepLines w:val="0"/>
              <w:widowControl/>
              <w:suppressLineNumbers w:val="0"/>
              <w:jc w:val="center"/>
              <w:textAlignment w:val="center"/>
              <w:rPr>
                <w:rFonts w:hint="eastAsia" w:ascii="仿宋" w:hAnsi="仿宋" w:eastAsia="仿宋" w:cs="仿宋"/>
                <w:color w:val="000000" w:themeColor="text1"/>
                <w:szCs w:val="21"/>
              </w:rPr>
            </w:pPr>
            <w:r>
              <w:rPr>
                <w:rFonts w:hint="eastAsia" w:ascii="仿宋" w:hAnsi="仿宋" w:eastAsia="仿宋" w:cs="仿宋"/>
                <w:i w:val="0"/>
                <w:iCs w:val="0"/>
                <w:color w:val="000000"/>
                <w:kern w:val="0"/>
                <w:sz w:val="24"/>
                <w:szCs w:val="24"/>
                <w:u w:val="none"/>
                <w:lang w:val="en-US" w:eastAsia="zh-CN" w:bidi="ar"/>
              </w:rPr>
              <w:t>2024.1.16</w:t>
            </w:r>
          </w:p>
        </w:tc>
        <w:tc>
          <w:tcPr>
            <w:tcW w:w="571" w:type="dxa"/>
          </w:tcPr>
          <w:p w14:paraId="7B1E642B">
            <w:pPr>
              <w:rPr>
                <w:rFonts w:hint="eastAsia" w:ascii="仿宋_GB2312" w:eastAsia="仿宋_GB2312"/>
                <w:color w:val="000000" w:themeColor="text1"/>
                <w:szCs w:val="21"/>
              </w:rPr>
            </w:pPr>
          </w:p>
        </w:tc>
      </w:tr>
      <w:tr w14:paraId="5B92D2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654E9BEC">
            <w:pPr>
              <w:jc w:val="center"/>
              <w:rPr>
                <w:rFonts w:hint="eastAsia" w:ascii="仿宋_GB2312" w:eastAsia="仿宋_GB2312"/>
                <w:color w:val="000000" w:themeColor="text1"/>
                <w:szCs w:val="21"/>
              </w:rPr>
            </w:pPr>
            <w:r>
              <w:rPr>
                <w:rFonts w:hint="eastAsia" w:ascii="仿宋_GB2312" w:eastAsia="仿宋_GB2312"/>
                <w:color w:val="000000" w:themeColor="text1"/>
                <w:szCs w:val="21"/>
              </w:rPr>
              <w:t>3</w:t>
            </w:r>
          </w:p>
        </w:tc>
        <w:tc>
          <w:tcPr>
            <w:tcW w:w="3828" w:type="dxa"/>
            <w:vAlign w:val="center"/>
          </w:tcPr>
          <w:p w14:paraId="6E2C688B">
            <w:pPr>
              <w:rPr>
                <w:rFonts w:hint="eastAsia" w:ascii="仿宋" w:hAnsi="仿宋" w:eastAsia="仿宋" w:cs="仿宋"/>
                <w:color w:val="000000" w:themeColor="text1"/>
                <w:szCs w:val="21"/>
              </w:rPr>
            </w:pPr>
            <w:r>
              <w:rPr>
                <w:rFonts w:hint="eastAsia" w:ascii="仿宋" w:hAnsi="仿宋" w:eastAsia="仿宋" w:cs="仿宋"/>
                <w:i w:val="0"/>
                <w:iCs w:val="0"/>
                <w:color w:val="000000"/>
                <w:kern w:val="0"/>
                <w:sz w:val="24"/>
                <w:szCs w:val="24"/>
                <w:u w:val="none"/>
                <w:lang w:val="en-US" w:eastAsia="zh-CN" w:bidi="ar"/>
              </w:rPr>
              <w:t>明山区玉田八珍卤味西芬店(经营者：郭玉田)</w:t>
            </w:r>
          </w:p>
        </w:tc>
        <w:tc>
          <w:tcPr>
            <w:tcW w:w="6193" w:type="dxa"/>
            <w:shd w:val="clear"/>
            <w:vAlign w:val="center"/>
          </w:tcPr>
          <w:p w14:paraId="6BD7426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明山区玉田八珍卤味西芬店(经营者：郭玉田)超限量使用食品添加剂案（卤制品）</w:t>
            </w:r>
          </w:p>
        </w:tc>
        <w:tc>
          <w:tcPr>
            <w:tcW w:w="1319" w:type="dxa"/>
            <w:vAlign w:val="center"/>
          </w:tcPr>
          <w:p w14:paraId="0140A689">
            <w:pPr>
              <w:keepNext w:val="0"/>
              <w:keepLines w:val="0"/>
              <w:widowControl/>
              <w:suppressLineNumbers w:val="0"/>
              <w:jc w:val="center"/>
              <w:textAlignment w:val="center"/>
              <w:rPr>
                <w:rFonts w:hint="eastAsia" w:ascii="仿宋" w:hAnsi="仿宋" w:eastAsia="仿宋" w:cs="仿宋"/>
                <w:color w:val="000000" w:themeColor="text1"/>
                <w:szCs w:val="21"/>
              </w:rPr>
            </w:pPr>
            <w:r>
              <w:rPr>
                <w:rFonts w:hint="eastAsia" w:ascii="仿宋" w:hAnsi="仿宋" w:eastAsia="仿宋" w:cs="仿宋"/>
                <w:i w:val="0"/>
                <w:iCs w:val="0"/>
                <w:color w:val="000000"/>
                <w:kern w:val="0"/>
                <w:sz w:val="24"/>
                <w:szCs w:val="24"/>
                <w:u w:val="none"/>
                <w:lang w:val="en-US" w:eastAsia="zh-CN" w:bidi="ar"/>
              </w:rPr>
              <w:t>0.5225</w:t>
            </w:r>
          </w:p>
        </w:tc>
        <w:tc>
          <w:tcPr>
            <w:tcW w:w="1414" w:type="dxa"/>
            <w:vAlign w:val="center"/>
          </w:tcPr>
          <w:p w14:paraId="71554F69">
            <w:pPr>
              <w:keepNext w:val="0"/>
              <w:keepLines w:val="0"/>
              <w:widowControl/>
              <w:suppressLineNumbers w:val="0"/>
              <w:jc w:val="center"/>
              <w:textAlignment w:val="center"/>
              <w:rPr>
                <w:rFonts w:hint="eastAsia" w:ascii="仿宋" w:hAnsi="仿宋" w:eastAsia="仿宋" w:cs="仿宋"/>
                <w:color w:val="000000" w:themeColor="text1"/>
                <w:szCs w:val="21"/>
              </w:rPr>
            </w:pPr>
            <w:r>
              <w:rPr>
                <w:rFonts w:hint="eastAsia" w:ascii="仿宋" w:hAnsi="仿宋" w:eastAsia="仿宋" w:cs="仿宋"/>
                <w:i w:val="0"/>
                <w:iCs w:val="0"/>
                <w:color w:val="000000"/>
                <w:kern w:val="0"/>
                <w:sz w:val="24"/>
                <w:szCs w:val="24"/>
                <w:u w:val="none"/>
                <w:lang w:val="en-US" w:eastAsia="zh-CN" w:bidi="ar"/>
              </w:rPr>
              <w:t>2024.1.22</w:t>
            </w:r>
          </w:p>
        </w:tc>
        <w:tc>
          <w:tcPr>
            <w:tcW w:w="571" w:type="dxa"/>
          </w:tcPr>
          <w:p w14:paraId="635FB3F2">
            <w:pPr>
              <w:rPr>
                <w:rFonts w:hint="eastAsia" w:ascii="仿宋_GB2312" w:eastAsia="仿宋_GB2312"/>
                <w:color w:val="000000" w:themeColor="text1"/>
                <w:szCs w:val="21"/>
              </w:rPr>
            </w:pPr>
          </w:p>
        </w:tc>
      </w:tr>
      <w:tr w14:paraId="6D5552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2515C575">
            <w:pPr>
              <w:jc w:val="center"/>
              <w:rPr>
                <w:rFonts w:hint="eastAsia" w:ascii="仿宋_GB2312" w:eastAsia="仿宋_GB2312"/>
                <w:color w:val="000000" w:themeColor="text1"/>
                <w:szCs w:val="21"/>
              </w:rPr>
            </w:pPr>
            <w:r>
              <w:rPr>
                <w:rFonts w:hint="eastAsia" w:ascii="仿宋_GB2312" w:eastAsia="仿宋_GB2312"/>
                <w:color w:val="000000" w:themeColor="text1"/>
                <w:szCs w:val="21"/>
              </w:rPr>
              <w:t>4</w:t>
            </w:r>
          </w:p>
        </w:tc>
        <w:tc>
          <w:tcPr>
            <w:tcW w:w="3828" w:type="dxa"/>
            <w:vAlign w:val="center"/>
          </w:tcPr>
          <w:p w14:paraId="507AD1C1">
            <w:pPr>
              <w:rPr>
                <w:rFonts w:hint="eastAsia" w:ascii="仿宋" w:hAnsi="仿宋" w:eastAsia="仿宋" w:cs="仿宋"/>
                <w:color w:val="000000" w:themeColor="text1"/>
                <w:szCs w:val="21"/>
              </w:rPr>
            </w:pPr>
            <w:r>
              <w:rPr>
                <w:rFonts w:hint="eastAsia" w:ascii="仿宋" w:hAnsi="仿宋" w:eastAsia="仿宋" w:cs="仿宋"/>
                <w:i w:val="0"/>
                <w:iCs w:val="0"/>
                <w:color w:val="000000"/>
                <w:kern w:val="0"/>
                <w:sz w:val="24"/>
                <w:szCs w:val="24"/>
                <w:u w:val="none"/>
                <w:lang w:val="en-US" w:eastAsia="zh-CN" w:bidi="ar"/>
              </w:rPr>
              <w:t>明山区喜相逢超市（经营者：崔德华）</w:t>
            </w:r>
          </w:p>
        </w:tc>
        <w:tc>
          <w:tcPr>
            <w:tcW w:w="6193" w:type="dxa"/>
            <w:shd w:val="clear"/>
            <w:vAlign w:val="center"/>
          </w:tcPr>
          <w:p w14:paraId="209472B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明山区喜相逢超市（经营者：崔德华）销售未按规定标注应当标注内容及产品标识不符合规定（茶叶等）</w:t>
            </w:r>
          </w:p>
        </w:tc>
        <w:tc>
          <w:tcPr>
            <w:tcW w:w="1319" w:type="dxa"/>
            <w:vAlign w:val="center"/>
          </w:tcPr>
          <w:p w14:paraId="2D273CC1">
            <w:pPr>
              <w:keepNext w:val="0"/>
              <w:keepLines w:val="0"/>
              <w:widowControl/>
              <w:suppressLineNumbers w:val="0"/>
              <w:jc w:val="center"/>
              <w:textAlignment w:val="center"/>
              <w:rPr>
                <w:rFonts w:hint="eastAsia" w:ascii="仿宋" w:hAnsi="仿宋" w:eastAsia="仿宋" w:cs="仿宋"/>
                <w:color w:val="000000" w:themeColor="text1"/>
                <w:szCs w:val="21"/>
              </w:rPr>
            </w:pPr>
            <w:r>
              <w:rPr>
                <w:rFonts w:hint="eastAsia" w:ascii="仿宋" w:hAnsi="仿宋" w:eastAsia="仿宋" w:cs="仿宋"/>
                <w:i w:val="0"/>
                <w:iCs w:val="0"/>
                <w:color w:val="000000"/>
                <w:kern w:val="0"/>
                <w:sz w:val="24"/>
                <w:szCs w:val="24"/>
                <w:u w:val="none"/>
                <w:lang w:val="en-US" w:eastAsia="zh-CN" w:bidi="ar"/>
              </w:rPr>
              <w:t>0.0161</w:t>
            </w:r>
          </w:p>
        </w:tc>
        <w:tc>
          <w:tcPr>
            <w:tcW w:w="1414" w:type="dxa"/>
            <w:vAlign w:val="center"/>
          </w:tcPr>
          <w:p w14:paraId="3B427AAD">
            <w:pPr>
              <w:keepNext w:val="0"/>
              <w:keepLines w:val="0"/>
              <w:widowControl/>
              <w:suppressLineNumbers w:val="0"/>
              <w:jc w:val="center"/>
              <w:textAlignment w:val="center"/>
              <w:rPr>
                <w:rFonts w:hint="eastAsia" w:ascii="仿宋" w:hAnsi="仿宋" w:eastAsia="仿宋" w:cs="仿宋"/>
                <w:color w:val="000000" w:themeColor="text1"/>
                <w:szCs w:val="21"/>
              </w:rPr>
            </w:pPr>
            <w:r>
              <w:rPr>
                <w:rFonts w:hint="eastAsia" w:ascii="仿宋" w:hAnsi="仿宋" w:eastAsia="仿宋" w:cs="仿宋"/>
                <w:i w:val="0"/>
                <w:iCs w:val="0"/>
                <w:color w:val="000000"/>
                <w:kern w:val="0"/>
                <w:sz w:val="24"/>
                <w:szCs w:val="24"/>
                <w:u w:val="none"/>
                <w:lang w:val="en-US" w:eastAsia="zh-CN" w:bidi="ar"/>
              </w:rPr>
              <w:t>2024.1.31</w:t>
            </w:r>
          </w:p>
        </w:tc>
        <w:tc>
          <w:tcPr>
            <w:tcW w:w="571" w:type="dxa"/>
          </w:tcPr>
          <w:p w14:paraId="47B98403">
            <w:pPr>
              <w:rPr>
                <w:rFonts w:hint="eastAsia" w:ascii="仿宋_GB2312" w:eastAsia="仿宋_GB2312"/>
                <w:color w:val="000000" w:themeColor="text1"/>
                <w:szCs w:val="21"/>
              </w:rPr>
            </w:pPr>
          </w:p>
        </w:tc>
      </w:tr>
      <w:tr w14:paraId="2870DC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2C8DBB25">
            <w:pPr>
              <w:jc w:val="center"/>
              <w:rPr>
                <w:rFonts w:hint="eastAsia" w:ascii="仿宋_GB2312" w:eastAsia="仿宋_GB2312"/>
                <w:color w:val="000000" w:themeColor="text1"/>
                <w:szCs w:val="21"/>
                <w:lang w:eastAsia="zh-CN"/>
              </w:rPr>
            </w:pPr>
            <w:r>
              <w:rPr>
                <w:rFonts w:hint="eastAsia" w:ascii="仿宋_GB2312" w:eastAsia="仿宋_GB2312"/>
                <w:color w:val="000000" w:themeColor="text1"/>
                <w:szCs w:val="21"/>
                <w:lang w:val="en-US" w:eastAsia="zh-CN"/>
              </w:rPr>
              <w:t>5</w:t>
            </w:r>
          </w:p>
        </w:tc>
        <w:tc>
          <w:tcPr>
            <w:tcW w:w="3828" w:type="dxa"/>
            <w:vAlign w:val="center"/>
          </w:tcPr>
          <w:p w14:paraId="5D0C4AF1">
            <w:pPr>
              <w:rPr>
                <w:rFonts w:hint="eastAsia" w:ascii="仿宋" w:hAnsi="仿宋" w:eastAsia="仿宋" w:cs="仿宋"/>
                <w:color w:val="000000" w:themeColor="text1"/>
                <w:szCs w:val="21"/>
              </w:rPr>
            </w:pPr>
            <w:r>
              <w:rPr>
                <w:rFonts w:hint="eastAsia" w:ascii="仿宋" w:hAnsi="仿宋" w:eastAsia="仿宋" w:cs="仿宋"/>
                <w:i w:val="0"/>
                <w:iCs w:val="0"/>
                <w:color w:val="000000"/>
                <w:kern w:val="0"/>
                <w:sz w:val="24"/>
                <w:szCs w:val="24"/>
                <w:u w:val="none"/>
                <w:lang w:val="en-US" w:eastAsia="zh-CN" w:bidi="ar"/>
              </w:rPr>
              <w:t>辽宁华联商厦有限公司生活广场</w:t>
            </w:r>
          </w:p>
        </w:tc>
        <w:tc>
          <w:tcPr>
            <w:tcW w:w="6193" w:type="dxa"/>
            <w:shd w:val="clear"/>
            <w:vAlign w:val="center"/>
          </w:tcPr>
          <w:p w14:paraId="1DAB98C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辽宁华联商厦有限公司生活广场经营标签不符合国家标准的食品（菲丽茜雅小咧巴面包）案</w:t>
            </w:r>
          </w:p>
        </w:tc>
        <w:tc>
          <w:tcPr>
            <w:tcW w:w="1319" w:type="dxa"/>
            <w:vAlign w:val="center"/>
          </w:tcPr>
          <w:p w14:paraId="2F17074B">
            <w:pPr>
              <w:keepNext w:val="0"/>
              <w:keepLines w:val="0"/>
              <w:widowControl/>
              <w:suppressLineNumbers w:val="0"/>
              <w:jc w:val="center"/>
              <w:textAlignment w:val="center"/>
              <w:rPr>
                <w:rFonts w:hint="eastAsia" w:ascii="仿宋" w:hAnsi="仿宋" w:eastAsia="仿宋" w:cs="仿宋"/>
                <w:color w:val="000000" w:themeColor="text1"/>
                <w:szCs w:val="21"/>
              </w:rPr>
            </w:pPr>
            <w:r>
              <w:rPr>
                <w:rFonts w:hint="eastAsia" w:ascii="仿宋" w:hAnsi="仿宋" w:eastAsia="仿宋" w:cs="仿宋"/>
                <w:i w:val="0"/>
                <w:iCs w:val="0"/>
                <w:color w:val="000000"/>
                <w:kern w:val="0"/>
                <w:sz w:val="24"/>
                <w:szCs w:val="24"/>
                <w:u w:val="none"/>
                <w:lang w:val="en-US" w:eastAsia="zh-CN" w:bidi="ar"/>
              </w:rPr>
              <w:t>0.05</w:t>
            </w:r>
          </w:p>
        </w:tc>
        <w:tc>
          <w:tcPr>
            <w:tcW w:w="1414" w:type="dxa"/>
            <w:vAlign w:val="center"/>
          </w:tcPr>
          <w:p w14:paraId="4D82F4BE">
            <w:pPr>
              <w:keepNext w:val="0"/>
              <w:keepLines w:val="0"/>
              <w:widowControl/>
              <w:suppressLineNumbers w:val="0"/>
              <w:jc w:val="center"/>
              <w:textAlignment w:val="center"/>
              <w:rPr>
                <w:rFonts w:hint="eastAsia" w:ascii="仿宋" w:hAnsi="仿宋" w:eastAsia="仿宋" w:cs="仿宋"/>
                <w:color w:val="000000" w:themeColor="text1"/>
                <w:szCs w:val="21"/>
              </w:rPr>
            </w:pPr>
            <w:r>
              <w:rPr>
                <w:rFonts w:hint="eastAsia" w:ascii="仿宋" w:hAnsi="仿宋" w:eastAsia="仿宋" w:cs="仿宋"/>
                <w:i w:val="0"/>
                <w:iCs w:val="0"/>
                <w:color w:val="000000"/>
                <w:kern w:val="0"/>
                <w:sz w:val="24"/>
                <w:szCs w:val="24"/>
                <w:u w:val="none"/>
                <w:lang w:val="en-US" w:eastAsia="zh-CN" w:bidi="ar"/>
              </w:rPr>
              <w:t>2024.2.8</w:t>
            </w:r>
          </w:p>
        </w:tc>
        <w:tc>
          <w:tcPr>
            <w:tcW w:w="571" w:type="dxa"/>
          </w:tcPr>
          <w:p w14:paraId="6D4DFE3B">
            <w:pPr>
              <w:rPr>
                <w:rFonts w:hint="eastAsia" w:ascii="仿宋_GB2312" w:eastAsia="仿宋_GB2312"/>
                <w:color w:val="000000" w:themeColor="text1"/>
                <w:szCs w:val="21"/>
              </w:rPr>
            </w:pPr>
          </w:p>
        </w:tc>
      </w:tr>
      <w:tr w14:paraId="66245A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2062635A">
            <w:pPr>
              <w:jc w:val="center"/>
              <w:rPr>
                <w:rFonts w:hint="eastAsia" w:ascii="仿宋_GB2312" w:eastAsia="仿宋_GB2312"/>
                <w:color w:val="000000" w:themeColor="text1"/>
                <w:szCs w:val="21"/>
                <w:lang w:eastAsia="zh-CN"/>
              </w:rPr>
            </w:pPr>
            <w:r>
              <w:rPr>
                <w:rFonts w:hint="eastAsia" w:ascii="仿宋_GB2312" w:eastAsia="仿宋_GB2312"/>
                <w:color w:val="000000" w:themeColor="text1"/>
                <w:szCs w:val="21"/>
                <w:lang w:val="en-US" w:eastAsia="zh-CN"/>
              </w:rPr>
              <w:t>6</w:t>
            </w:r>
          </w:p>
        </w:tc>
        <w:tc>
          <w:tcPr>
            <w:tcW w:w="3828" w:type="dxa"/>
            <w:vAlign w:val="center"/>
          </w:tcPr>
          <w:p w14:paraId="5E750960">
            <w:pPr>
              <w:rPr>
                <w:rFonts w:hint="eastAsia" w:ascii="仿宋" w:hAnsi="仿宋" w:eastAsia="仿宋" w:cs="仿宋"/>
                <w:color w:val="000000" w:themeColor="text1"/>
                <w:szCs w:val="21"/>
              </w:rPr>
            </w:pPr>
            <w:r>
              <w:rPr>
                <w:rFonts w:hint="eastAsia" w:ascii="仿宋" w:hAnsi="仿宋" w:eastAsia="仿宋" w:cs="仿宋"/>
                <w:i w:val="0"/>
                <w:iCs w:val="0"/>
                <w:color w:val="000000"/>
                <w:kern w:val="0"/>
                <w:sz w:val="24"/>
                <w:szCs w:val="24"/>
                <w:u w:val="none"/>
                <w:lang w:val="en-US" w:eastAsia="zh-CN" w:bidi="ar"/>
              </w:rPr>
              <w:t>辽宁华联商厦有限公司嘉业店</w:t>
            </w:r>
          </w:p>
        </w:tc>
        <w:tc>
          <w:tcPr>
            <w:tcW w:w="6193" w:type="dxa"/>
            <w:shd w:val="clear"/>
            <w:vAlign w:val="center"/>
          </w:tcPr>
          <w:p w14:paraId="5E401EF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辽宁华联商厦有限公司嘉业店经营标签不符合食品安全标准的食品案</w:t>
            </w:r>
          </w:p>
        </w:tc>
        <w:tc>
          <w:tcPr>
            <w:tcW w:w="1319" w:type="dxa"/>
            <w:vAlign w:val="center"/>
          </w:tcPr>
          <w:p w14:paraId="65C367BC">
            <w:pPr>
              <w:keepNext w:val="0"/>
              <w:keepLines w:val="0"/>
              <w:widowControl/>
              <w:suppressLineNumbers w:val="0"/>
              <w:jc w:val="center"/>
              <w:textAlignment w:val="center"/>
              <w:rPr>
                <w:rFonts w:hint="eastAsia" w:ascii="仿宋" w:hAnsi="仿宋" w:eastAsia="仿宋" w:cs="仿宋"/>
                <w:color w:val="000000" w:themeColor="text1"/>
                <w:szCs w:val="21"/>
              </w:rPr>
            </w:pPr>
            <w:r>
              <w:rPr>
                <w:rFonts w:hint="eastAsia" w:ascii="仿宋" w:hAnsi="仿宋" w:eastAsia="仿宋" w:cs="仿宋"/>
                <w:i w:val="0"/>
                <w:iCs w:val="0"/>
                <w:color w:val="000000"/>
                <w:kern w:val="0"/>
                <w:sz w:val="24"/>
                <w:szCs w:val="24"/>
                <w:u w:val="none"/>
                <w:lang w:val="en-US" w:eastAsia="zh-CN" w:bidi="ar"/>
              </w:rPr>
              <w:t>0.11526</w:t>
            </w:r>
          </w:p>
        </w:tc>
        <w:tc>
          <w:tcPr>
            <w:tcW w:w="1414" w:type="dxa"/>
            <w:vAlign w:val="center"/>
          </w:tcPr>
          <w:p w14:paraId="61466DC2">
            <w:pPr>
              <w:keepNext w:val="0"/>
              <w:keepLines w:val="0"/>
              <w:widowControl/>
              <w:suppressLineNumbers w:val="0"/>
              <w:jc w:val="center"/>
              <w:textAlignment w:val="center"/>
              <w:rPr>
                <w:rFonts w:hint="eastAsia" w:ascii="仿宋" w:hAnsi="仿宋" w:eastAsia="仿宋" w:cs="仿宋"/>
                <w:color w:val="000000" w:themeColor="text1"/>
                <w:szCs w:val="21"/>
              </w:rPr>
            </w:pPr>
            <w:r>
              <w:rPr>
                <w:rFonts w:hint="eastAsia" w:ascii="仿宋" w:hAnsi="仿宋" w:eastAsia="仿宋" w:cs="仿宋"/>
                <w:i w:val="0"/>
                <w:iCs w:val="0"/>
                <w:color w:val="000000"/>
                <w:kern w:val="0"/>
                <w:sz w:val="24"/>
                <w:szCs w:val="24"/>
                <w:u w:val="none"/>
                <w:lang w:val="en-US" w:eastAsia="zh-CN" w:bidi="ar"/>
              </w:rPr>
              <w:t>2024.2.8</w:t>
            </w:r>
          </w:p>
        </w:tc>
        <w:tc>
          <w:tcPr>
            <w:tcW w:w="571" w:type="dxa"/>
          </w:tcPr>
          <w:p w14:paraId="6C0B29F0">
            <w:pPr>
              <w:rPr>
                <w:rFonts w:hint="eastAsia" w:ascii="仿宋_GB2312" w:eastAsia="仿宋_GB2312"/>
                <w:color w:val="000000" w:themeColor="text1"/>
                <w:szCs w:val="21"/>
              </w:rPr>
            </w:pPr>
          </w:p>
        </w:tc>
      </w:tr>
      <w:tr w14:paraId="1FDAD3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3718CBFB">
            <w:pPr>
              <w:jc w:val="center"/>
              <w:rPr>
                <w:rFonts w:hint="eastAsia" w:ascii="仿宋_GB2312" w:eastAsia="仿宋_GB2312"/>
                <w:color w:val="000000" w:themeColor="text1"/>
                <w:szCs w:val="21"/>
                <w:lang w:eastAsia="zh-CN"/>
              </w:rPr>
            </w:pPr>
            <w:r>
              <w:rPr>
                <w:rFonts w:hint="eastAsia" w:ascii="仿宋_GB2312" w:eastAsia="仿宋_GB2312"/>
                <w:color w:val="000000" w:themeColor="text1"/>
                <w:szCs w:val="21"/>
                <w:lang w:val="en-US" w:eastAsia="zh-CN"/>
              </w:rPr>
              <w:t>7</w:t>
            </w:r>
          </w:p>
        </w:tc>
        <w:tc>
          <w:tcPr>
            <w:tcW w:w="3828" w:type="dxa"/>
            <w:vAlign w:val="center"/>
          </w:tcPr>
          <w:p w14:paraId="3DDA8989">
            <w:pPr>
              <w:rPr>
                <w:rFonts w:hint="eastAsia" w:ascii="仿宋" w:hAnsi="仿宋" w:eastAsia="仿宋" w:cs="仿宋"/>
                <w:color w:val="000000" w:themeColor="text1"/>
                <w:szCs w:val="21"/>
              </w:rPr>
            </w:pPr>
            <w:r>
              <w:rPr>
                <w:rFonts w:hint="eastAsia" w:ascii="仿宋" w:hAnsi="仿宋" w:eastAsia="仿宋" w:cs="仿宋"/>
                <w:i w:val="0"/>
                <w:iCs w:val="0"/>
                <w:color w:val="000000"/>
                <w:kern w:val="0"/>
                <w:sz w:val="24"/>
                <w:szCs w:val="24"/>
                <w:u w:val="none"/>
                <w:lang w:val="en-US" w:eastAsia="zh-CN" w:bidi="ar"/>
              </w:rPr>
              <w:t>明山区吉丰便利店（经营者：陈立萍）</w:t>
            </w:r>
          </w:p>
        </w:tc>
        <w:tc>
          <w:tcPr>
            <w:tcW w:w="6193" w:type="dxa"/>
            <w:shd w:val="clear"/>
            <w:vAlign w:val="center"/>
          </w:tcPr>
          <w:p w14:paraId="0A7E5A7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明山区吉丰便利店（经营者：陈立萍）经营超过保质期的食品“桃李酵母面包”案</w:t>
            </w:r>
          </w:p>
        </w:tc>
        <w:tc>
          <w:tcPr>
            <w:tcW w:w="1319" w:type="dxa"/>
            <w:vAlign w:val="center"/>
          </w:tcPr>
          <w:p w14:paraId="0CE27DDB">
            <w:pPr>
              <w:keepNext w:val="0"/>
              <w:keepLines w:val="0"/>
              <w:widowControl/>
              <w:suppressLineNumbers w:val="0"/>
              <w:jc w:val="center"/>
              <w:textAlignment w:val="center"/>
              <w:rPr>
                <w:rFonts w:hint="eastAsia" w:ascii="仿宋" w:hAnsi="仿宋" w:eastAsia="仿宋" w:cs="仿宋"/>
                <w:color w:val="000000" w:themeColor="text1"/>
                <w:szCs w:val="21"/>
              </w:rPr>
            </w:pPr>
            <w:r>
              <w:rPr>
                <w:rFonts w:hint="eastAsia" w:ascii="仿宋" w:hAnsi="仿宋" w:eastAsia="仿宋" w:cs="仿宋"/>
                <w:i w:val="0"/>
                <w:iCs w:val="0"/>
                <w:color w:val="000000"/>
                <w:kern w:val="0"/>
                <w:sz w:val="24"/>
                <w:szCs w:val="24"/>
                <w:u w:val="none"/>
                <w:lang w:val="en-US" w:eastAsia="zh-CN" w:bidi="ar"/>
              </w:rPr>
              <w:t>0.05</w:t>
            </w:r>
          </w:p>
        </w:tc>
        <w:tc>
          <w:tcPr>
            <w:tcW w:w="1414" w:type="dxa"/>
            <w:vAlign w:val="center"/>
          </w:tcPr>
          <w:p w14:paraId="1ED695DD">
            <w:pPr>
              <w:keepNext w:val="0"/>
              <w:keepLines w:val="0"/>
              <w:widowControl/>
              <w:suppressLineNumbers w:val="0"/>
              <w:jc w:val="center"/>
              <w:textAlignment w:val="center"/>
              <w:rPr>
                <w:rFonts w:hint="eastAsia" w:ascii="仿宋" w:hAnsi="仿宋" w:eastAsia="仿宋" w:cs="仿宋"/>
                <w:color w:val="000000" w:themeColor="text1"/>
                <w:szCs w:val="21"/>
              </w:rPr>
            </w:pPr>
            <w:r>
              <w:rPr>
                <w:rFonts w:hint="eastAsia" w:ascii="仿宋" w:hAnsi="仿宋" w:eastAsia="仿宋" w:cs="仿宋"/>
                <w:i w:val="0"/>
                <w:iCs w:val="0"/>
                <w:color w:val="000000"/>
                <w:kern w:val="0"/>
                <w:sz w:val="24"/>
                <w:szCs w:val="24"/>
                <w:u w:val="none"/>
                <w:lang w:val="en-US" w:eastAsia="zh-CN" w:bidi="ar"/>
              </w:rPr>
              <w:t>2024.3.5</w:t>
            </w:r>
          </w:p>
        </w:tc>
        <w:tc>
          <w:tcPr>
            <w:tcW w:w="571" w:type="dxa"/>
          </w:tcPr>
          <w:p w14:paraId="51C0C7E4">
            <w:pPr>
              <w:rPr>
                <w:rFonts w:hint="eastAsia" w:ascii="仿宋_GB2312" w:eastAsia="仿宋_GB2312"/>
                <w:color w:val="000000" w:themeColor="text1"/>
                <w:szCs w:val="21"/>
              </w:rPr>
            </w:pPr>
          </w:p>
        </w:tc>
      </w:tr>
      <w:tr w14:paraId="762C31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74A983ED">
            <w:pPr>
              <w:jc w:val="center"/>
              <w:rPr>
                <w:rFonts w:hint="eastAsia" w:ascii="仿宋_GB2312" w:eastAsia="仿宋_GB2312"/>
                <w:color w:val="000000" w:themeColor="text1"/>
                <w:szCs w:val="21"/>
                <w:lang w:eastAsia="zh-CN"/>
              </w:rPr>
            </w:pPr>
            <w:r>
              <w:rPr>
                <w:rFonts w:hint="eastAsia" w:ascii="仿宋_GB2312" w:eastAsia="仿宋_GB2312"/>
                <w:color w:val="000000" w:themeColor="text1"/>
                <w:szCs w:val="21"/>
                <w:lang w:val="en-US" w:eastAsia="zh-CN"/>
              </w:rPr>
              <w:t>8</w:t>
            </w:r>
          </w:p>
        </w:tc>
        <w:tc>
          <w:tcPr>
            <w:tcW w:w="3828" w:type="dxa"/>
            <w:vAlign w:val="center"/>
          </w:tcPr>
          <w:p w14:paraId="53AF4141">
            <w:pPr>
              <w:rPr>
                <w:rFonts w:hint="eastAsia" w:ascii="仿宋" w:hAnsi="仿宋" w:eastAsia="仿宋" w:cs="仿宋"/>
                <w:color w:val="000000" w:themeColor="text1"/>
                <w:szCs w:val="21"/>
              </w:rPr>
            </w:pPr>
            <w:r>
              <w:rPr>
                <w:rFonts w:hint="eastAsia" w:ascii="仿宋" w:hAnsi="仿宋" w:eastAsia="仿宋" w:cs="仿宋"/>
                <w:i w:val="0"/>
                <w:iCs w:val="0"/>
                <w:color w:val="000000"/>
                <w:kern w:val="0"/>
                <w:sz w:val="24"/>
                <w:szCs w:val="24"/>
                <w:u w:val="none"/>
                <w:lang w:val="en-US" w:eastAsia="zh-CN" w:bidi="ar"/>
              </w:rPr>
              <w:t>明山区延好便民日用品超市（经营者：刘永川）</w:t>
            </w:r>
          </w:p>
        </w:tc>
        <w:tc>
          <w:tcPr>
            <w:tcW w:w="6193" w:type="dxa"/>
            <w:shd w:val="clear"/>
            <w:vAlign w:val="center"/>
          </w:tcPr>
          <w:p w14:paraId="408033C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明山区延好便民日用品超市（经营者：刘永川）经营超过保质期的食品“桃李纯蛋糕”案</w:t>
            </w:r>
          </w:p>
        </w:tc>
        <w:tc>
          <w:tcPr>
            <w:tcW w:w="1319" w:type="dxa"/>
            <w:vAlign w:val="center"/>
          </w:tcPr>
          <w:p w14:paraId="6956FD5C">
            <w:pPr>
              <w:keepNext w:val="0"/>
              <w:keepLines w:val="0"/>
              <w:widowControl/>
              <w:suppressLineNumbers w:val="0"/>
              <w:jc w:val="center"/>
              <w:textAlignment w:val="center"/>
              <w:rPr>
                <w:rFonts w:hint="eastAsia" w:ascii="仿宋" w:hAnsi="仿宋" w:eastAsia="仿宋" w:cs="仿宋"/>
                <w:color w:val="000000" w:themeColor="text1"/>
                <w:szCs w:val="21"/>
              </w:rPr>
            </w:pPr>
            <w:r>
              <w:rPr>
                <w:rFonts w:hint="eastAsia" w:ascii="仿宋" w:hAnsi="仿宋" w:eastAsia="仿宋" w:cs="仿宋"/>
                <w:i w:val="0"/>
                <w:iCs w:val="0"/>
                <w:color w:val="000000"/>
                <w:kern w:val="0"/>
                <w:sz w:val="24"/>
                <w:szCs w:val="24"/>
                <w:u w:val="none"/>
                <w:lang w:val="en-US" w:eastAsia="zh-CN" w:bidi="ar"/>
              </w:rPr>
              <w:t>0.05</w:t>
            </w:r>
          </w:p>
        </w:tc>
        <w:tc>
          <w:tcPr>
            <w:tcW w:w="1414" w:type="dxa"/>
            <w:vAlign w:val="center"/>
          </w:tcPr>
          <w:p w14:paraId="0E1243A8">
            <w:pPr>
              <w:keepNext w:val="0"/>
              <w:keepLines w:val="0"/>
              <w:widowControl/>
              <w:suppressLineNumbers w:val="0"/>
              <w:jc w:val="center"/>
              <w:textAlignment w:val="center"/>
              <w:rPr>
                <w:rFonts w:hint="eastAsia" w:ascii="仿宋" w:hAnsi="仿宋" w:eastAsia="仿宋" w:cs="仿宋"/>
                <w:color w:val="000000" w:themeColor="text1"/>
                <w:szCs w:val="21"/>
              </w:rPr>
            </w:pPr>
            <w:r>
              <w:rPr>
                <w:rFonts w:hint="eastAsia" w:ascii="仿宋" w:hAnsi="仿宋" w:eastAsia="仿宋" w:cs="仿宋"/>
                <w:i w:val="0"/>
                <w:iCs w:val="0"/>
                <w:color w:val="000000"/>
                <w:kern w:val="0"/>
                <w:sz w:val="24"/>
                <w:szCs w:val="24"/>
                <w:u w:val="none"/>
                <w:lang w:val="en-US" w:eastAsia="zh-CN" w:bidi="ar"/>
              </w:rPr>
              <w:t>2024.3.5</w:t>
            </w:r>
          </w:p>
        </w:tc>
        <w:tc>
          <w:tcPr>
            <w:tcW w:w="571" w:type="dxa"/>
          </w:tcPr>
          <w:p w14:paraId="2E35EEEC">
            <w:pPr>
              <w:rPr>
                <w:rFonts w:hint="eastAsia" w:ascii="仿宋_GB2312" w:eastAsia="仿宋_GB2312"/>
                <w:color w:val="000000" w:themeColor="text1"/>
                <w:szCs w:val="21"/>
              </w:rPr>
            </w:pPr>
          </w:p>
        </w:tc>
      </w:tr>
    </w:tbl>
    <w:p w14:paraId="4FBF6342">
      <w:pPr>
        <w:rPr>
          <w:rFonts w:hint="eastAsia" w:ascii="仿宋_GB2312" w:eastAsia="仿宋_GB2312"/>
          <w:color w:val="000000" w:themeColor="text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75F"/>
    <w:rsid w:val="003E4672"/>
    <w:rsid w:val="0053475F"/>
    <w:rsid w:val="00843B3D"/>
    <w:rsid w:val="4DB70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565</Words>
  <Characters>616</Characters>
  <Lines>5</Lines>
  <Paragraphs>1</Paragraphs>
  <TotalTime>6</TotalTime>
  <ScaleCrop>false</ScaleCrop>
  <LinksUpToDate>false</LinksUpToDate>
  <CharactersWithSpaces>648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2024-08-21T06:30:00Z</dcterms:created>
  <dc:creator>PC</dc:creator>
  <cp:lastModifiedBy>兔六哥 </cp:lastModifiedBy>
  <dcterms:modified xsi:type="dcterms:W3CDTF">2025-01-07T03:42:42Z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eyJoZGlkIjoiYTk3MzkwMTRlZDliMWFkNGRjOGQ3NmU2ODdkZThiYTMiLCJ1c2VySWQiOiI3MTQ5NDA4MzkifQ==</vt:lpwstr>
  </property>
  <property fmtid="{D5CDD505-2E9C-101B-9397-08002B2CF9AE}" pid="3" name="KSOProductBuildVer">
    <vt:lpwstr>2052-12.1.0.19302</vt:lpwstr>
  </property>
  <property fmtid="{D5CDD505-2E9C-101B-9397-08002B2CF9AE}" pid="4" name="ICV">
    <vt:lpwstr>023D13CBAAFC427BB24BE93161A8CA5E_13</vt:lpwstr>
  </property>
</Properties>
</file>