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D7D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4E5D87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74C96D15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725DDC1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变更国药控股国大药房沈阳连锁有限公司本溪长江路店等2家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1071B2AA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7434B62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01FE925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0B8F173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0AC8870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2BAB1412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5FF8364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79A1B1F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7C00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2BDC5A6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EA714C9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F0AA07B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9294F80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9BC3CF9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2F454A0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414C9DF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C027FA0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66E6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7B1BEA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136617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080000" w:fill="FFFFFF"/>
              </w:rPr>
              <w:t>91210521MA0XK8RQ24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1A2981">
            <w:pPr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607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75DE12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48EBCE7">
            <w:pPr>
              <w:spacing w:before="25" w:after="0" w:line="228" w:lineRule="auto"/>
              <w:ind w:right="146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080000" w:fill="FFFFFF"/>
              </w:rPr>
              <w:t>国药控股国大药房沈阳连锁有限公司本溪长江路店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EEFAEFE">
            <w:pPr>
              <w:spacing w:before="29" w:after="0" w:line="210" w:lineRule="auto"/>
              <w:ind w:right="84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本溪满族自治县小市镇长江路54#-02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51B440">
            <w:pPr>
              <w:spacing w:before="25" w:after="0" w:line="228" w:lineRule="auto"/>
              <w:ind w:right="146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质量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负责人：</w:t>
            </w:r>
            <w:r>
              <w:rPr>
                <w:rFonts w:hint="eastAsia" w:ascii="Times New Roman" w:hAnsi="Times New Roman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杨新辉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3A458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</w:tr>
      <w:tr w14:paraId="2A70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D9D71E3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AAE134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080000" w:fill="FFFFFF"/>
              </w:rPr>
              <w:t>91210504MA0YBHT17K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CA9252">
            <w:pPr>
              <w:spacing w:before="0" w:after="0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辽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DA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024200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sz w:val="20"/>
                <w:szCs w:val="20"/>
                <w:lang w:val="en-US" w:eastAsia="zh-CN"/>
              </w:rPr>
              <w:t>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A3F3B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法定代表人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及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DC12BF2">
            <w:pPr>
              <w:spacing w:before="25" w:after="0" w:line="228" w:lineRule="auto"/>
              <w:ind w:right="146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080000" w:fill="FFFFFF"/>
              </w:rPr>
              <w:t>本溪市康民药店长江分店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EA8AA06">
            <w:pPr>
              <w:spacing w:before="29" w:after="0" w:line="210" w:lineRule="auto"/>
              <w:ind w:right="84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本溪市明山区新城路33栋1层4门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89A6C26">
            <w:pPr>
              <w:spacing w:before="25" w:after="0" w:line="228" w:lineRule="auto"/>
              <w:ind w:right="146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法定代表人：祁晓红</w:t>
            </w:r>
          </w:p>
          <w:p w14:paraId="080A88F6">
            <w:pPr>
              <w:spacing w:before="25" w:after="0" w:line="228" w:lineRule="auto"/>
              <w:ind w:right="146"/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主要负责人：</w:t>
            </w:r>
            <w:r>
              <w:rPr>
                <w:rFonts w:hint="eastAsia" w:ascii="Times New Roman" w:hAnsi="Times New Roman" w:cs="Times New Roman"/>
                <w:color w:val="auto"/>
                <w:spacing w:val="-4"/>
                <w:sz w:val="20"/>
                <w:szCs w:val="20"/>
                <w:lang w:val="en-US" w:eastAsia="zh-CN"/>
              </w:rPr>
              <w:t>祁晓红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89D8B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</w:tr>
    </w:tbl>
    <w:p w14:paraId="73512515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0NWU1NTcxMGJhMTQxYjkzNzkzNDExMzI2NTVjYzM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A870C0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0286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435</Characters>
  <Lines>0</Lines>
  <Paragraphs>0</Paragraphs>
  <TotalTime>0</TotalTime>
  <ScaleCrop>false</ScaleCrop>
  <LinksUpToDate>false</LinksUpToDate>
  <CharactersWithSpaces>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Trtrtr</cp:lastModifiedBy>
  <dcterms:modified xsi:type="dcterms:W3CDTF">2024-08-16T00:38:44Z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14BC634889FD48CFBE1B79DCEA2A7DF2_13</vt:lpwstr>
  </property>
</Properties>
</file>