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变更辽宁五洲通大药房连锁有限公司本溪幸福分店等3家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91210503MAD9M3T01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辽CB024200752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辽宁五洲通大药房连锁有限公司本溪幸福分店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本溪市溪湖区彩北新苑小区11号楼1号门市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质量负责人:李芳连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2024-7-9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91210502MAD165JE3J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辽CB024200688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辽宁健之佳连锁药房有限公司本溪前进分店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本溪市平山区前进街1幢4号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质量负责人：赵立新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2024-7-9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  <w:t>91210500318936378F</w:t>
            </w:r>
          </w:p>
        </w:tc>
        <w:tc>
          <w:tcPr>
            <w:tcW w:w="1300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辽CB024200116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辽宁成大方圆医药连锁有限公司本溪世福佳苑分店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本溪市明山区一中街6-2栋1层8门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质量负责人:李敬一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2024-7-10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77B42B8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51382A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487E9D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08E313C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040B50"/>
    <w:rsid w:val="644D57E8"/>
    <w:rsid w:val="64676364"/>
    <w:rsid w:val="648D0281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42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2024-07-12T00:47:20Z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17E7791C50AA44B1B4B2234288C2634B_13</vt:lpwstr>
  </property>
</Properties>
</file>