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变更辽宁五洲通大药房连锁有限公司消防店1家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675"/>
        <w:gridCol w:w="1377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C5C5C"/>
                <w:spacing w:val="0"/>
                <w:sz w:val="20"/>
                <w:szCs w:val="20"/>
                <w:shd w:val="clear" w:fill="FFFFFF"/>
              </w:rPr>
              <w:t>91210504318801203Y</w:t>
            </w:r>
          </w:p>
        </w:tc>
        <w:tc>
          <w:tcPr>
            <w:tcW w:w="1377" w:type="dxa"/>
            <w:shd w:val="clear" w:color="auto" w:fill="auto"/>
            <w:vAlign w:val="center"/>
          </w:tcPr>
          <w:p>
            <w:pPr>
              <w:spacing w:before="0" w:after="0" w:line="240" w:lineRule="auto"/>
              <w:ind w:right="0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2"/>
                <w:sz w:val="20"/>
                <w:szCs w:val="20"/>
                <w:lang w:val="en-US" w:eastAsia="zh-CN"/>
              </w:rPr>
              <w:t>辽CB024200121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spacing w:before="25" w:after="0" w:line="228" w:lineRule="auto"/>
              <w:ind w:right="146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C5C5C"/>
                <w:spacing w:val="0"/>
                <w:sz w:val="20"/>
                <w:szCs w:val="20"/>
                <w:shd w:val="clear" w:fill="FFFFFF"/>
              </w:rPr>
              <w:t>辽宁五洲通大药房连锁有限公司消防店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spacing w:before="29" w:after="0" w:line="210" w:lineRule="auto"/>
              <w:ind w:right="84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5C5C5C"/>
                <w:spacing w:val="0"/>
                <w:sz w:val="20"/>
                <w:szCs w:val="20"/>
                <w:shd w:val="clear" w:fill="FFFFFF"/>
              </w:rPr>
              <w:t>本溪市明山区明东路19栋1层8门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spacing w:before="25" w:after="0" w:line="228" w:lineRule="auto"/>
              <w:ind w:right="146" w:right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-4"/>
                <w:sz w:val="20"/>
                <w:szCs w:val="20"/>
                <w:lang w:val="en-US" w:eastAsia="zh-CN"/>
              </w:rPr>
              <w:t>质量负责人：张敏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2024-6-6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JhMDdkNzZjOWE3ZDUzMThkOGU1NWM5ZjBjOWU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1958A1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4E1487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5B3AEB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320</Characters>
  <Lines>0</Lines>
  <Paragraphs>0</Paragraphs>
  <TotalTime>0</TotalTime>
  <ScaleCrop>false</ScaleCrop>
  <LinksUpToDate>false</LinksUpToDate>
  <CharactersWithSpaces>491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Trtrtr</cp:lastModifiedBy>
  <dcterms:modified xsi:type="dcterms:W3CDTF">2024-06-07T00:59:22Z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17E7791C50AA44B1B4B2234288C2634B_13</vt:lpwstr>
  </property>
</Properties>
</file>