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变更桓仁康顺药店等1家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91210522MA0YQRWN5Y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桓仁康顺药店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桓仁满族自治县桓仁镇向阳街32组6幢单元3号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经营地址：桓仁满族自治县桓仁镇向阳街34组4幢单元5号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经营范围更新为:处方药、甲类非处方药、乙类非处方药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;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2024-04-07T02:30:40Z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