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变更桓仁东山人民大药房等7家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91210522MA10Y1BX7M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辽DB024200022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桓仁东山人民大药房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桓仁满族自治县桓仁镇顺城街15组12幢0单元3号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企业名称：本溪桓仁家圆三号五洲通大药房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91210522MABMW4299E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辽DB024200036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桓仁吉祥好邻居大药房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桓仁满族自治县桓仁镇中心街01组4幢0单元9号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企业名称：本溪桓仁家圆四号五洲通大药房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91210522MA119L3K9D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辽DA024200197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桓仁幸福好邻居大药房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桓仁满族自治县桓仁镇向阳街06组27幢单元23号一层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企业名称：本溪桓仁家圆五号五洲通大药房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经营范围更新为：处方药、甲类非处方药、乙类非处方药；中成药、化学药***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91210521MAC0Y2M26C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辽CB024000575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国药控股国大药房沈阳连锁有限公司本溪隆熙佳园分店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本溪满族自治县小市镇隆熙佳园1、2、3#楼-07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刘凤茹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处方药、甲类非处方药、乙类非处方药;中药饮片、中成药、化学药(含冷藏药品)、血液制品、其他生物制品(含冷藏药品)***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91210500MA0Y2ECR4E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辽CB024000018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国药控股国大药房沈阳连锁有限公司本溪东山店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本溪市溪湖区顺山街7栋首层3号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质量负责人：黄翠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处方药、甲类非处方药、乙类非处方药;中药饮片、中成药、化学药(含冷藏药品)、其他生物制品(含冷藏药品)***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91210500MA0XP76T87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辽CB024000622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国药控股国大药房沈阳连锁有限公司本溪顺山店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本溪市溪湖区溪湖东路45栋1层6号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质量负责人：李珍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处方药、甲类非处方药、乙类非处方药;中药饮片、中成药、化学药(含冷藏药品)、其他生物制品(含冷藏药品)***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912105030517553159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辽CB024000268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辽宁天士力大药房连锁有限公司本溪顺山分店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本溪市溪湖区东山小区10栋2号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质量负责人：贺飞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处方药、甲类非处方药、乙类非处方药;中药饮片、中成药、化学药(含冷藏药品)、其他生物制品(含冷藏药品)***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2024-3-22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2024-03-22T02:22:47Z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