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微软雅黑" w:hAnsi="微软雅黑" w:eastAsia="微软雅黑"/>
          <w:sz w:val="44"/>
          <w:szCs w:val="44"/>
          <w:lang w:val="en-US" w:eastAsia="zh-CN"/>
        </w:rPr>
        <w:t>2024.1.22-2024.1.26</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医疗器械经营企业辽宁艾沐茵医疗科技有限公司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辽溪药监械经营备20240007号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辽宁艾沐茵医疗科技有限公司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辽宁省本溪市高新区药都创新服务中心三期A3-209-1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2002年分类目录：6803,6804,6807,6809,6810,6812,6815,6820,6822,6823,6824,6825,6826,6827,6830,6831,6840（诊断试剂除外）,6841,6845,6854,6855,6856,6857,6858,6863,6864,6866,6870</w:t>
            </w:r>
          </w:p>
          <w:p>
            <w:pPr>
              <w:spacing w:line="0" w:lineRule="atLeast"/>
              <w:jc w:val="center"/>
              <w:rPr>
                <w:rFonts w:hint="eastAsia"/>
                <w:color w:val="000000"/>
                <w:shd w:val="clear" w:color="auto" w:fill="FFFFFF"/>
              </w:rPr>
            </w:pPr>
            <w:bookmarkStart w:id="0" w:name="_GoBack"/>
            <w:bookmarkEnd w:id="0"/>
            <w:r>
              <w:rPr>
                <w:rFonts w:hint="eastAsia" w:ascii="宋体" w:hAnsi="宋体" w:eastAsia="宋体" w:cs="宋体"/>
                <w:sz w:val="20"/>
                <w:szCs w:val="20"/>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lang w:eastAsia="zh-CN"/>
              </w:rPr>
              <w:t>批零兼营</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陈建国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kern w:val="2"/>
                <w:sz w:val="20"/>
                <w:szCs w:val="20"/>
                <w:lang w:val="en-US" w:eastAsia="zh-CN" w:bidi="ar-SA"/>
              </w:rPr>
              <w:t>2024.1.24</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26</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5F97663"/>
    <w:rsid w:val="0A36391D"/>
    <w:rsid w:val="272D5E4B"/>
    <w:rsid w:val="36443B1B"/>
    <w:rsid w:val="3D8A5CB8"/>
    <w:rsid w:val="44C94B0F"/>
    <w:rsid w:val="49D34965"/>
    <w:rsid w:val="4DB369CD"/>
    <w:rsid w:val="5C463D02"/>
    <w:rsid w:val="7D2101A6"/>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424</Characters>
  <Lines>0</Lines>
  <Paragraphs>0</Paragraphs>
  <TotalTime>1</TotalTime>
  <ScaleCrop>false</ScaleCrop>
  <LinksUpToDate>false</LinksUpToDate>
  <CharactersWithSpaces>637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2024-01-25T05:46:45Z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7D09202B9B054190A409C88EE26B30F1</vt:lpwstr>
  </property>
</Properties>
</file>