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18</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22</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本溪市瑞康达医疗器械经销处等3</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22</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0"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辽溪药监械经营许20150031号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本溪市瑞康达医疗器械经销处</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本溪市明山区西芬小区2-1-1-1（A区）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6815注射穿刺器械，6840临床检验分析仪器及诊断试剂（含诊断试剂），6846植入材料和人工器官，6854手术室、急救室、诊疗室设备及器具，6864医用卫生材料及敷料，6865医用缝合材料及粘合剂，6866医用高分子材料及制品</w:t>
            </w:r>
          </w:p>
          <w:p>
            <w:pPr>
              <w:spacing w:line="0" w:lineRule="atLeast"/>
              <w:jc w:val="center"/>
              <w:rPr>
                <w:rFonts w:hint="eastAsia"/>
                <w:szCs w:val="21"/>
                <w:lang w:val="en-US" w:eastAsia="zh-CN"/>
              </w:rPr>
            </w:pPr>
            <w:r>
              <w:rPr>
                <w:rFonts w:hint="eastAsia"/>
                <w:szCs w:val="21"/>
                <w:lang w:val="en-US" w:eastAsia="zh-CN"/>
              </w:rPr>
              <w:t>2017年分类目录：</w:t>
            </w:r>
          </w:p>
          <w:p>
            <w:pPr>
              <w:spacing w:line="0" w:lineRule="atLeast"/>
              <w:jc w:val="center"/>
              <w:rPr>
                <w:rFonts w:hint="eastAsia"/>
                <w:color w:val="auto"/>
                <w:szCs w:val="21"/>
                <w:lang w:val="en-US" w:eastAsia="zh-CN"/>
              </w:rPr>
            </w:pPr>
            <w:r>
              <w:rPr>
                <w:rFonts w:hint="eastAsia"/>
                <w:szCs w:val="21"/>
                <w:lang w:val="en-US" w:eastAsia="zh-CN"/>
              </w:rPr>
              <w:t>01-有源手术器械,02-无源手术器械,08-呼吸、麻醉和急救器械,10-输血、透析和体外循环器械,12-有源植入器械,13-无源植入器械,14-注输、护理和防护器械,15-患者承载器械,16-眼科器械,18-妇产科、辅助生殖和避孕器械,19-医用康复器械,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辽溪药监械经营许20180002号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本溪高新技术产业开发区海斯凯尔医疗器械有限公司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本溪高新区石桥子木兰路中国药都创新园区B2-1区1层101号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法定代表人变更为：赵雪莹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辽溪药监械经营许20210016号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辽宁养天和北药家大药房连锁有限公司镇南分店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辽宁省本溪市本溪满族自治县小市镇长江路48#-01、02</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企业名称变更为：辽宁北药家大药房连锁有限公司镇南分店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2023.12.20</w:t>
            </w:r>
          </w:p>
        </w:tc>
      </w:tr>
    </w:tbl>
    <w:p>
      <w:r>
        <w:rPr>
          <w:rFonts w:hint="eastAsia" w:ascii="宋体" w:hAnsi="宋体"/>
          <w:sz w:val="44"/>
        </w:rPr>
        <w:t xml:space="preserve">                                    (</w:t>
      </w:r>
      <w:r>
        <w:rPr>
          <w:rFonts w:hint="eastAsia" w:ascii="宋体" w:hAnsi="宋体"/>
          <w:sz w:val="44"/>
          <w:lang w:val="en-US" w:eastAsia="zh-CN"/>
        </w:rPr>
        <w:t>2023.12.18-2023.12.22</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2A02DF"/>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5FF7522"/>
    <w:rsid w:val="460B16D6"/>
    <w:rsid w:val="467711E1"/>
    <w:rsid w:val="47B31FE6"/>
    <w:rsid w:val="49D87973"/>
    <w:rsid w:val="4AB13D5E"/>
    <w:rsid w:val="4AC705C3"/>
    <w:rsid w:val="4BAE2A13"/>
    <w:rsid w:val="51076520"/>
    <w:rsid w:val="54545BA4"/>
    <w:rsid w:val="54A77184"/>
    <w:rsid w:val="5C980B76"/>
    <w:rsid w:val="66894493"/>
    <w:rsid w:val="69900126"/>
    <w:rsid w:val="69CD2D0C"/>
    <w:rsid w:val="6B31217B"/>
    <w:rsid w:val="6B7B7031"/>
    <w:rsid w:val="6B8E6B53"/>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2023-12-21T07:15:09Z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039318733909482186452EC67FBA2042</vt:lpwstr>
  </property>
</Properties>
</file>