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2023.7.10-2023.7.14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本溪城镇医药连锁有限责任公司隆兴小区分店等5家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辽溪药监械经营备20230535号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本溪城镇医药连锁有限责任公司隆兴小区分店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辽宁省本溪市桓仁满族自治县桓仁镇向阳街07组7幢0单元14号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6841,6845,6854,6855,6856,6857,6858,6863,6864,6865,6866,6870,68772017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苏丽辉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辽溪药监械经营备20230536号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本溪城镇医药连锁有限责任公司顺城分店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辽宁省本溪市桓仁满族自治县桓仁镇顺城街15组9幢0单元1号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陆林贵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辽宁养天和北药家大药房连锁有限公司田师付分店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辽宁省本溪市本溪满族自治县田师付镇治沉23#门市房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陶礼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辽溪药监械经营备20230538号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本溪唐人人民大药堂医药连锁有限公司佳兆业分店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辽宁省本溪市明山区龙威路1-10栋1层7门、8门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2002年分类目录：6801,6804,6805,6806,6809,6810,6812,6813,6815,6820,6821,6823,6825,6826,6827,6840（诊断试剂不需低温冷藏运输贮存）,6841,6854,6855,6856,6857,6858,6863,6864,6865,6866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2017年分类目录：01,02,03,04,07,08,09,11,14,15,16,17,18,19,20,22,6840（不需冷链运输、贮存）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窦仕宇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辽溪药监械经营备20230539号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本溪唐人人民大药堂医药连锁有限公司小市嘉禾园分店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辽宁省本溪市本溪满族自治县小市镇春光路25#-04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2002年分类目录：6801,6804,6805,6806,6809,6810,6812,6813,6815,6820,6821,6823,6825,6826,6827,6840（诊断试剂不需低温冷藏运输贮存）,6841,6854,6855,6856,6857,6858,6863,6864,6865,6866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2017年分类目录：01,02,03,04,07,08,09,11,14,15,16,17,18,19,20,22,6840（不需冷链运输、贮存）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窦仕宇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2023.7.14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10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14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4A057F8"/>
    <w:rsid w:val="15F34A14"/>
    <w:rsid w:val="1CAA121D"/>
    <w:rsid w:val="1EED4327"/>
    <w:rsid w:val="23862102"/>
    <w:rsid w:val="272D5E4B"/>
    <w:rsid w:val="2A744A12"/>
    <w:rsid w:val="2A8038ED"/>
    <w:rsid w:val="35851E7F"/>
    <w:rsid w:val="36443B1B"/>
    <w:rsid w:val="37A32AC4"/>
    <w:rsid w:val="3CB24B14"/>
    <w:rsid w:val="3D8A5CB8"/>
    <w:rsid w:val="491375A8"/>
    <w:rsid w:val="4F4B5DBE"/>
    <w:rsid w:val="5411353A"/>
    <w:rsid w:val="56E946D4"/>
    <w:rsid w:val="60D95A9A"/>
    <w:rsid w:val="6DE4367D"/>
    <w:rsid w:val="76C91F52"/>
    <w:rsid w:val="7E0839F3"/>
    <w:rsid w:val="7F5A704C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2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2023-07-14T02:43:02Z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7D09202B9B054190A409C88EE26B30F1</vt:lpwstr>
  </property>
</Properties>
</file>