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1100"/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23年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本溪执业药师注册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eastAsia="zh-CN"/>
        </w:rPr>
        <w:t>公告</w:t>
      </w:r>
    </w:p>
    <w:tbl>
      <w:tblPr>
        <w:tblStyle w:val="2"/>
        <w:tblpPr w:leftFromText="180" w:rightFromText="180" w:vertAnchor="text" w:horzAnchor="page" w:tblpX="1281" w:tblpY="367"/>
        <w:tblOverlap w:val="never"/>
        <w:tblW w:w="13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37"/>
        <w:gridCol w:w="1138"/>
        <w:gridCol w:w="2833"/>
        <w:gridCol w:w="3479"/>
        <w:gridCol w:w="1981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2833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资格证号</w:t>
            </w:r>
          </w:p>
        </w:tc>
        <w:tc>
          <w:tcPr>
            <w:tcW w:w="3479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执业单位</w:t>
            </w:r>
          </w:p>
        </w:tc>
        <w:tc>
          <w:tcPr>
            <w:tcW w:w="198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注册证号</w:t>
            </w:r>
          </w:p>
        </w:tc>
        <w:tc>
          <w:tcPr>
            <w:tcW w:w="231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霍兴华</w:t>
            </w:r>
          </w:p>
        </w:tc>
        <w:tc>
          <w:tcPr>
            <w:tcW w:w="113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2833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ZY00307586</w:t>
            </w:r>
          </w:p>
        </w:tc>
        <w:tc>
          <w:tcPr>
            <w:tcW w:w="347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桓仁安康大药房医药连锁有限公司</w:t>
            </w:r>
          </w:p>
        </w:tc>
        <w:tc>
          <w:tcPr>
            <w:tcW w:w="19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211223050014</w:t>
            </w:r>
          </w:p>
        </w:tc>
        <w:tc>
          <w:tcPr>
            <w:tcW w:w="2314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2023.02.09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FEE79"/>
    <w:multiLevelType w:val="singleLevel"/>
    <w:tmpl w:val="24AFEE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mVmMjI3M2FlZjk3NmIwMWZkZDdiYjVhZWY0OGMifQ=="/>
  </w:docVars>
  <w:rsids>
    <w:rsidRoot w:val="00000000"/>
    <w:rsid w:val="0F8E46C8"/>
    <w:rsid w:val="289736BB"/>
    <w:rsid w:val="2DD96255"/>
    <w:rsid w:val="419271CF"/>
    <w:rsid w:val="65F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148</Characters>
  <Lines>0</Lines>
  <Paragraphs>0</Paragraphs>
  <TotalTime>1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lennovo</dc:creator>
  <cp:lastModifiedBy>春天</cp:lastModifiedBy>
  <dcterms:modified xsi:type="dcterms:W3CDTF">2023-02-09T02:09:48Z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EB5EF191318947C89B3E4CAE3E34DD22</vt:lpwstr>
  </property>
</Properties>
</file>