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ind w:firstLine="375"/>
        <w:jc w:val="center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20</w:t>
      </w:r>
      <w:r>
        <w:rPr>
          <w:rFonts w:hint="eastAsia" w:ascii="宋体" w:hAnsi="宋体" w:eastAsia="宋体" w:cs="宋体"/>
          <w:kern w:val="0"/>
          <w:sz w:val="52"/>
          <w:szCs w:val="52"/>
          <w:lang w:val="en-US" w:eastAsia="zh-CN"/>
        </w:rPr>
        <w:t>2</w:t>
      </w:r>
      <w:r>
        <w:rPr>
          <w:rFonts w:hint="eastAsia" w:ascii="宋体" w:hAnsi="宋体" w:cs="宋体"/>
          <w:kern w:val="0"/>
          <w:sz w:val="52"/>
          <w:szCs w:val="52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52"/>
          <w:szCs w:val="52"/>
        </w:rPr>
        <w:t>年药品经营许可(核发)公告(</w:t>
      </w:r>
      <w:r>
        <w:rPr>
          <w:rFonts w:hint="eastAsia" w:ascii="宋体" w:hAnsi="宋体" w:cs="宋体"/>
          <w:kern w:val="0"/>
          <w:sz w:val="52"/>
          <w:szCs w:val="52"/>
          <w:lang w:val="en-US" w:eastAsia="zh-CN"/>
        </w:rPr>
        <w:t>2022.07.22-2022.07-28</w:t>
      </w:r>
      <w:r>
        <w:rPr>
          <w:rFonts w:hint="eastAsia" w:ascii="宋体" w:hAnsi="宋体" w:eastAsia="宋体" w:cs="宋体"/>
          <w:kern w:val="0"/>
          <w:sz w:val="52"/>
          <w:szCs w:val="52"/>
        </w:rPr>
        <w:t>)</w:t>
      </w:r>
    </w:p>
    <w:p>
      <w:pPr>
        <w:widowControl/>
        <w:shd w:val="clear" w:color="auto" w:fill="FFFFFF"/>
        <w:spacing w:line="420" w:lineRule="atLeast"/>
        <w:ind w:firstLine="640"/>
        <w:jc w:val="left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依据《中华人民共和国行政许可法》有关行政许可的规定和《中华人民共和国药品管理法》、《中华人民共和国药品管理法实施条例》、《药品经营许可证管理办法》等法律、法规、规章有关的规定，本溪市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市场</w:t>
      </w:r>
      <w:r>
        <w:rPr>
          <w:rFonts w:hint="eastAsia" w:ascii="仿宋" w:hAnsi="仿宋" w:eastAsia="仿宋" w:cs="宋体"/>
          <w:kern w:val="0"/>
          <w:sz w:val="32"/>
          <w:szCs w:val="32"/>
        </w:rPr>
        <w:t>监督管理局决定对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辽宁成大方圆医药连锁有限公司本溪黄河大街分店1</w:t>
      </w:r>
      <w:r>
        <w:rPr>
          <w:rFonts w:hint="eastAsia" w:ascii="仿宋" w:hAnsi="仿宋" w:eastAsia="仿宋" w:cs="宋体"/>
          <w:kern w:val="0"/>
          <w:sz w:val="32"/>
          <w:szCs w:val="32"/>
        </w:rPr>
        <w:t>家药品经营企业的核发申请予以批准。</w:t>
      </w:r>
    </w:p>
    <w:p>
      <w:pPr>
        <w:widowControl/>
        <w:shd w:val="clear" w:color="auto" w:fill="FFFFFF"/>
        <w:spacing w:line="420" w:lineRule="atLeast"/>
        <w:ind w:firstLine="120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>特此公告。</w:t>
      </w:r>
    </w:p>
    <w:p>
      <w:pPr>
        <w:widowControl/>
        <w:shd w:val="clear" w:color="auto" w:fill="FFFFFF"/>
        <w:spacing w:line="420" w:lineRule="atLeast"/>
        <w:ind w:firstLine="56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32"/>
          <w:szCs w:val="32"/>
        </w:rPr>
        <w:t>                                             </w:t>
      </w:r>
    </w:p>
    <w:p>
      <w:pPr>
        <w:widowControl/>
        <w:shd w:val="clear" w:color="auto" w:fill="FFFFFF"/>
        <w:spacing w:line="420" w:lineRule="atLeast"/>
        <w:ind w:firstLine="56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420" w:lineRule="atLeast"/>
        <w:ind w:right="640" w:firstLine="9360" w:firstLineChars="2925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本溪市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市场</w:t>
      </w:r>
      <w:r>
        <w:rPr>
          <w:rFonts w:hint="eastAsia" w:ascii="仿宋" w:hAnsi="仿宋" w:eastAsia="仿宋" w:cs="宋体"/>
          <w:kern w:val="0"/>
          <w:sz w:val="32"/>
          <w:szCs w:val="32"/>
        </w:rPr>
        <w:t>监督管理局</w:t>
      </w:r>
    </w:p>
    <w:p>
      <w:pPr>
        <w:widowControl/>
        <w:shd w:val="clear" w:color="auto" w:fill="FFFFFF"/>
        <w:spacing w:line="420" w:lineRule="atLeast"/>
        <w:ind w:left="3910" w:leftChars="1862" w:right="640" w:firstLine="6080" w:firstLineChars="19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22年7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420" w:lineRule="atLeast"/>
        <w:ind w:left="3910" w:leftChars="1862" w:right="640" w:firstLine="6080" w:firstLineChars="1900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420" w:lineRule="atLeast"/>
        <w:ind w:left="3910" w:leftChars="1862" w:right="640" w:firstLine="6080" w:firstLineChars="1900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420" w:lineRule="atLeast"/>
        <w:ind w:left="3910" w:leftChars="1862" w:right="640" w:firstLine="6080" w:firstLineChars="1900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</w:p>
    <w:tbl>
      <w:tblPr>
        <w:tblStyle w:val="2"/>
        <w:tblpPr w:leftFromText="180" w:rightFromText="180" w:vertAnchor="text" w:horzAnchor="page" w:tblpX="673" w:tblpY="337"/>
        <w:tblOverlap w:val="never"/>
        <w:tblW w:w="15741" w:type="dxa"/>
        <w:tblCellSpacing w:w="1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1755"/>
        <w:gridCol w:w="2548"/>
        <w:gridCol w:w="2693"/>
        <w:gridCol w:w="2914"/>
        <w:gridCol w:w="1684"/>
        <w:gridCol w:w="1351"/>
        <w:gridCol w:w="18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ind w:firstLine="240" w:firstLineChars="100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ind w:firstLine="375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许可证号</w:t>
            </w:r>
          </w:p>
        </w:tc>
        <w:tc>
          <w:tcPr>
            <w:tcW w:w="25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ind w:firstLine="375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企业名称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ind w:firstLine="375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企业地址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ind w:firstLine="375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经营范围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法定代表人/</w:t>
            </w:r>
          </w:p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企业负责人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质量负责人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20" w:lineRule="atLeast"/>
              <w:ind w:firstLine="375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审批日期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9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20" w:lineRule="atLeast"/>
              <w:ind w:left="425" w:leftChars="0" w:hanging="425"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辽CB4148499</w:t>
            </w:r>
          </w:p>
        </w:tc>
        <w:tc>
          <w:tcPr>
            <w:tcW w:w="2518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辽宁成大方圆医药连锁有限公司本溪黄河大街分店</w:t>
            </w:r>
          </w:p>
        </w:tc>
        <w:tc>
          <w:tcPr>
            <w:tcW w:w="2663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eastAsia="zh-CN"/>
              </w:rPr>
              <w:t>桓仁满族自治县桓仁镇永红街</w:t>
            </w: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02组14幢0单元32号</w:t>
            </w:r>
          </w:p>
        </w:tc>
        <w:tc>
          <w:tcPr>
            <w:tcW w:w="288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中成药、中药饮片（精致包装单味饮片）、化学药制剂、抗生素、生化药品、生物制品（除疫苗）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隋阳</w:t>
            </w:r>
          </w:p>
        </w:tc>
        <w:tc>
          <w:tcPr>
            <w:tcW w:w="132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lang w:val="en-US" w:eastAsia="zh-CN"/>
              </w:rPr>
              <w:t>孙羽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2022.07.26</w:t>
            </w:r>
          </w:p>
        </w:tc>
      </w:tr>
    </w:tbl>
    <w:p>
      <w:bookmarkStart w:id="0" w:name="_GoBack"/>
      <w:bookmarkEnd w:id="0"/>
    </w:p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668C3"/>
    <w:multiLevelType w:val="singleLevel"/>
    <w:tmpl w:val="3F1668C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MWRhNmNjMWVkN2YzMWIwOTUyNTM3NjMwY2E3ZDMifQ=="/>
  </w:docVars>
  <w:rsids>
    <w:rsidRoot w:val="00000000"/>
    <w:rsid w:val="463D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lennovo</dc:creator>
  <cp:lastModifiedBy>NTKO</cp:lastModifiedBy>
  <dcterms:modified xsi:type="dcterms:W3CDTF">2022-07-28T01:54:25Z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FFDFED05FB454A36B2B5417EF6BDEB94</vt:lpwstr>
  </property>
</Properties>
</file>