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</w:t>
      </w:r>
      <w:bookmarkStart w:id="0" w:name="_GoBack"/>
      <w:r>
        <w:rPr>
          <w:rFonts w:hint="eastAsia"/>
          <w:sz w:val="44"/>
          <w:szCs w:val="44"/>
        </w:rPr>
        <w:t>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20220615-20220621</w:t>
      </w:r>
      <w:r>
        <w:rPr>
          <w:rFonts w:hint="eastAsia"/>
          <w:sz w:val="44"/>
          <w:szCs w:val="44"/>
        </w:rPr>
        <w:t>）</w:t>
      </w:r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辽宁朗亿生物科技有限公司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4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54"/>
        <w:gridCol w:w="480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color="auto" w:fill="FFFFFF"/>
              </w:rPr>
              <w:t>辽宁朗亿生物科技有限公司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辽宁省本溪市高新技术产业开发区神农大街18号7号楼C座4-7-7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6808，6809，6810，6812，6815，6820，6821，6823，6824，6825，6826，6827，6828，6830，6831，6840（诊断试剂需低温冷藏运输贮存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2017年分类目录：01，02，03，04，05，06，07，08，09，10，11，12，13，14，15，16，17，18，19，20，21，22，6840体外诊断试剂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雷秀凤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color="auto" w:fill="FFFFFF"/>
              </w:rPr>
              <w:t>辽宁博普思利医疗器械有限公司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辽宁省本溪市高新技术产业开发区神农大街18号7号楼C座4-7-10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2002年分类目录：6801，6803，6804，6806，6807，6809，6810，6812，6815，6820，6821，6823，6824，6825，6826，6827，6828，6830，6831，6840（诊断试剂除外），6841，6845，6854，6855，6856，6857，6858，6863，6864，6865，6866，6870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韩唯民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</w:t>
      </w:r>
    </w:p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36443B1B"/>
    <w:rsid w:val="3F0635CA"/>
    <w:rsid w:val="44D77AAC"/>
    <w:rsid w:val="503F0BFC"/>
    <w:rsid w:val="57196235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1222</Characters>
  <Lines>0</Lines>
  <Paragraphs>0</Paragraphs>
  <ScaleCrop>false</ScaleCrop>
  <LinksUpToDate>false</LinksUpToDate>
  <CharactersWithSpaces>1435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qhtf-158</cp:lastModifiedBy>
  <dcterms:modified xsi:type="dcterms:W3CDTF">2022-07-28T02:03:27Z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7D09202B9B054190A409C88EE26B30F1</vt:lpwstr>
  </property>
</Properties>
</file>