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</w:t>
      </w:r>
      <w:r>
        <w:rPr>
          <w:rFonts w:hint="eastAsia"/>
          <w:sz w:val="44"/>
          <w:szCs w:val="44"/>
        </w:rPr>
        <w:t>年二类医疗器械备案（开办）公告</w:t>
      </w:r>
      <w:bookmarkStart w:id="0" w:name="_GoBack"/>
      <w:r>
        <w:rPr>
          <w:rFonts w:hint="eastAsia"/>
          <w:sz w:val="44"/>
          <w:szCs w:val="44"/>
        </w:rPr>
        <w:t>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20220422-20220430</w:t>
      </w:r>
      <w:r>
        <w:rPr>
          <w:rFonts w:hint="eastAsia"/>
          <w:sz w:val="44"/>
          <w:szCs w:val="44"/>
        </w:rPr>
        <w:t>）</w:t>
      </w:r>
      <w:bookmarkEnd w:id="0"/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本溪优盛美达医疗器械有限公司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家医疗器械经营企业的二类备案开办申请予以批准。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4"/>
        <w:tblpPr w:leftFromText="180" w:rightFromText="180" w:vertAnchor="text" w:horzAnchor="page" w:tblpX="1048" w:tblpY="393"/>
        <w:tblOverlap w:val="never"/>
        <w:tblW w:w="16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  <w:tc>
          <w:tcPr>
            <w:tcW w:w="1313" w:type="dxa"/>
            <w:tcBorders>
              <w:top w:val="nil"/>
              <w:left w:val="single" w:color="000000" w:sz="4" w:space="0"/>
              <w:bottom w:val="nil"/>
              <w:right w:val="nil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辽溪食药监械经营备2022013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本溪优盛美达医疗器械有限公司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辽宁省本溪市溪湖区溪湖东路33栋1层3号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2002年分类目录：6801，6802，6803，6804，6805，6806，6807，6808，6809，6810，6812，6813，6815，6816，6820，6821，6822，6823，6824，6825，6826，6827，6828，6830，6831，6832，6834，6841</w:t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b w:val="0"/>
                <w:bCs w:val="0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2017年分类目录：01，02，03，04，05，06，07，08，09，10，11，14，15，16，17，18，19，20，21，22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color="auto" w:fill="FFFFFF"/>
                <w:lang w:eastAsia="zh-CN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color w:val="auto"/>
                <w:lang w:eastAsia="zh-CN"/>
              </w:rPr>
              <w:t>齐英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宋体"/>
                <w:color w:val="auto"/>
                <w:szCs w:val="21"/>
                <w:lang w:val="en-US" w:eastAsia="zh-CN"/>
              </w:rPr>
              <w:t>2022.4.28</w:t>
            </w:r>
          </w:p>
        </w:tc>
        <w:tc>
          <w:tcPr>
            <w:tcW w:w="1313" w:type="dxa"/>
            <w:tcBorders>
              <w:lef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</w:tc>
      </w:tr>
    </w:tbl>
    <w:p>
      <w:pPr>
        <w:jc w:val="center"/>
      </w:pPr>
      <w:r>
        <w:rPr>
          <w:rFonts w:hint="eastAsia" w:ascii="宋体" w:hAnsi="宋体"/>
          <w:sz w:val="44"/>
          <w:lang w:val="en-US" w:eastAsia="zh-CN"/>
        </w:rPr>
        <w:t xml:space="preserve">                         </w:t>
      </w:r>
    </w:p>
    <w:sectPr>
      <w:pgSz w:w="16838" w:h="11906" w:orient="landscape"/>
      <w:pgMar w:top="720" w:right="720" w:bottom="720" w:left="72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13D11DA"/>
    <w:rsid w:val="02FF1CCB"/>
    <w:rsid w:val="0A36391D"/>
    <w:rsid w:val="0C970E9C"/>
    <w:rsid w:val="113118BF"/>
    <w:rsid w:val="1D7119D3"/>
    <w:rsid w:val="26E16702"/>
    <w:rsid w:val="36443B1B"/>
    <w:rsid w:val="44D77AAC"/>
    <w:rsid w:val="503F0BFC"/>
    <w:rsid w:val="59A0609E"/>
    <w:rsid w:val="614549E8"/>
    <w:rsid w:val="61E35A91"/>
    <w:rsid w:val="6AC45C2D"/>
    <w:rsid w:val="6E2A65EF"/>
    <w:rsid w:val="78FB6928"/>
    <w:rsid w:val="78FD502C"/>
    <w:rsid w:val="7E0839F3"/>
    <w:rsid w:val="7F2A25A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3"/>
    <w:qFormat/>
    <w:uiPriority w:val="0"/>
  </w:style>
  <w:style w:type="character" w:customStyle="1" w:styleId="6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21946</Words>
  <Characters>37986</Characters>
  <Lines>0</Lines>
  <Paragraphs>0</Paragraphs>
  <ScaleCrop>false</ScaleCrop>
  <LinksUpToDate>false</LinksUpToDate>
  <CharactersWithSpaces>38200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qhtf-158</cp:lastModifiedBy>
  <dcterms:modified xsi:type="dcterms:W3CDTF">2022-07-28T05:02:32Z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ICV">
    <vt:lpwstr>7D09202B9B054190A409C88EE26B30F1</vt:lpwstr>
  </property>
</Properties>
</file>