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辽宁漱玉康源大药房连锁有限公司欧洲城四期分店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辽宁漱玉康源大药房连锁有限公司欧洲城四期分店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辽宁省本溪市明山区地工路14-C1栋-1层11门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辽宁漱玉康源大药房连锁有限公司河东新湖俪城分店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辽宁省本溪市溪湖区井泉街8栋6号门市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辽宁漱玉康源大药房连锁有限公司南芬街里分店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辽宁省本溪市南芬区润庭佳苑小区84栋8#-6公建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辽宁漱玉康源大药房连锁有限公司玉龙湖分店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辽宁省本溪市明山区华夏街51-3栋1层3门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2022.2.16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28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1B9C"/>
    <w:rsid w:val="0A36391D"/>
    <w:rsid w:val="36443B1B"/>
    <w:rsid w:val="78FB6928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2022-02-28T07:09:33Z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7D09202B9B054190A409C88EE26B30F1</vt:lpwstr>
  </property>
</Properties>
</file>