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80390">
      <w:pPr>
        <w:pStyle w:val="2"/>
        <w:pageBreakBefore w:val="0"/>
        <w:widowControl w:val="0"/>
        <w:kinsoku/>
        <w:wordWrap/>
        <w:overflowPunct/>
        <w:topLinePunct w:val="0"/>
        <w:autoSpaceDE/>
        <w:autoSpaceDN/>
        <w:bidi w:val="0"/>
        <w:adjustRightInd/>
        <w:snapToGrid/>
        <w:spacing w:line="640" w:lineRule="exact"/>
        <w:jc w:val="center"/>
        <w:textAlignment w:val="auto"/>
      </w:pPr>
      <w:bookmarkStart w:id="0" w:name="_GoBack"/>
      <w:r>
        <w:rPr>
          <w:rFonts w:hint="eastAsia" w:ascii="方正小标宋简体" w:hAnsi="方正小标宋简体" w:eastAsia="方正小标宋简体" w:cs="方正小标宋简体"/>
        </w:rPr>
        <w:t>本溪市药品安全突发事件应急预案</w:t>
      </w:r>
    </w:p>
    <w:p w14:paraId="4E382403">
      <w:pPr>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（征求意见稿）</w:t>
      </w:r>
      <w:bookmarkEnd w:id="0"/>
    </w:p>
    <w:p w14:paraId="7D136E3F">
      <w:pPr>
        <w:rPr>
          <w:rFonts w:hint="eastAsia" w:ascii="黑体" w:hAnsi="黑体" w:eastAsia="黑体" w:cs="黑体"/>
          <w:sz w:val="32"/>
          <w:szCs w:val="32"/>
        </w:rPr>
      </w:pPr>
      <w:r>
        <w:rPr>
          <w:rFonts w:hint="eastAsia" w:ascii="微软雅黑" w:hAnsi="微软雅黑" w:eastAsia="微软雅黑" w:cs="微软雅黑"/>
          <w:sz w:val="32"/>
          <w:szCs w:val="32"/>
        </w:rPr>
        <w:t>1总则</w:t>
      </w:r>
    </w:p>
    <w:p w14:paraId="62BA6C3D">
      <w:pPr>
        <w:ind w:firstLine="640" w:firstLineChars="200"/>
        <w:rPr>
          <w:rFonts w:ascii="楷体" w:hAnsi="楷体" w:eastAsia="楷体" w:cs="楷体"/>
          <w:sz w:val="32"/>
          <w:szCs w:val="32"/>
        </w:rPr>
      </w:pPr>
      <w:r>
        <w:rPr>
          <w:rFonts w:hint="eastAsia" w:ascii="楷体" w:hAnsi="楷体" w:eastAsia="楷体" w:cs="楷体"/>
          <w:sz w:val="32"/>
          <w:szCs w:val="32"/>
        </w:rPr>
        <w:t>1.1编制目的</w:t>
      </w:r>
    </w:p>
    <w:p w14:paraId="02965759">
      <w:pPr>
        <w:ind w:firstLine="640" w:firstLineChars="200"/>
        <w:rPr>
          <w:rFonts w:ascii="楷体" w:hAnsi="楷体" w:eastAsia="楷体" w:cs="楷体"/>
          <w:sz w:val="32"/>
          <w:szCs w:val="32"/>
        </w:rPr>
      </w:pPr>
      <w:r>
        <w:rPr>
          <w:rFonts w:hint="eastAsia" w:ascii="楷体" w:hAnsi="楷体" w:eastAsia="楷体" w:cs="楷体"/>
          <w:sz w:val="32"/>
          <w:szCs w:val="32"/>
        </w:rPr>
        <w:t>1.2编制依据</w:t>
      </w:r>
    </w:p>
    <w:p w14:paraId="1F766A21">
      <w:pPr>
        <w:ind w:firstLine="640" w:firstLineChars="200"/>
        <w:rPr>
          <w:rFonts w:ascii="楷体" w:hAnsi="楷体" w:eastAsia="楷体" w:cs="楷体"/>
          <w:sz w:val="32"/>
          <w:szCs w:val="32"/>
        </w:rPr>
      </w:pPr>
      <w:r>
        <w:rPr>
          <w:rFonts w:hint="eastAsia" w:ascii="楷体" w:hAnsi="楷体" w:eastAsia="楷体" w:cs="楷体"/>
          <w:sz w:val="32"/>
          <w:szCs w:val="32"/>
        </w:rPr>
        <w:t>1.3适用范围</w:t>
      </w:r>
    </w:p>
    <w:p w14:paraId="7E433218">
      <w:pPr>
        <w:ind w:firstLine="640" w:firstLineChars="200"/>
        <w:rPr>
          <w:rFonts w:ascii="楷体" w:hAnsi="楷体" w:eastAsia="楷体" w:cs="楷体"/>
          <w:sz w:val="32"/>
          <w:szCs w:val="32"/>
        </w:rPr>
      </w:pPr>
      <w:r>
        <w:rPr>
          <w:rFonts w:hint="eastAsia" w:ascii="楷体" w:hAnsi="楷体" w:eastAsia="楷体" w:cs="楷体"/>
          <w:sz w:val="32"/>
          <w:szCs w:val="32"/>
        </w:rPr>
        <w:t>1.4 处置原则</w:t>
      </w:r>
    </w:p>
    <w:p w14:paraId="2D180367">
      <w:pPr>
        <w:ind w:firstLine="640" w:firstLineChars="200"/>
        <w:rPr>
          <w:rFonts w:ascii="楷体" w:hAnsi="楷体" w:eastAsia="楷体" w:cs="楷体"/>
          <w:sz w:val="32"/>
          <w:szCs w:val="32"/>
        </w:rPr>
      </w:pPr>
      <w:r>
        <w:rPr>
          <w:rFonts w:hint="eastAsia" w:ascii="楷体" w:hAnsi="楷体" w:eastAsia="楷体" w:cs="楷体"/>
          <w:sz w:val="32"/>
          <w:szCs w:val="32"/>
        </w:rPr>
        <w:t>1.5 事件分级</w:t>
      </w:r>
    </w:p>
    <w:p w14:paraId="185E4665">
      <w:pPr>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2危险性分析</w:t>
      </w:r>
    </w:p>
    <w:p w14:paraId="1170CCDB">
      <w:pPr>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组织指挥体系</w:t>
      </w:r>
    </w:p>
    <w:p w14:paraId="3B6DBCBF">
      <w:pPr>
        <w:ind w:firstLine="640" w:firstLineChars="200"/>
        <w:rPr>
          <w:rFonts w:ascii="楷体" w:hAnsi="楷体" w:eastAsia="楷体" w:cs="楷体"/>
          <w:sz w:val="32"/>
          <w:szCs w:val="32"/>
          <w:highlight w:val="red"/>
        </w:rPr>
      </w:pPr>
      <w:r>
        <w:rPr>
          <w:rFonts w:hint="eastAsia" w:ascii="楷体" w:hAnsi="楷体" w:eastAsia="楷体" w:cs="楷体"/>
          <w:sz w:val="32"/>
          <w:szCs w:val="32"/>
          <w:lang w:val="en-US" w:eastAsia="zh-CN"/>
        </w:rPr>
        <w:t>3</w:t>
      </w:r>
      <w:r>
        <w:rPr>
          <w:rFonts w:hint="eastAsia" w:ascii="楷体" w:hAnsi="楷体" w:eastAsia="楷体" w:cs="楷体"/>
          <w:sz w:val="32"/>
          <w:szCs w:val="32"/>
        </w:rPr>
        <w:t>.1 市专项指挥部及职责</w:t>
      </w:r>
    </w:p>
    <w:p w14:paraId="2D0C3367">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.2 市专项指挥部办公室及职责</w:t>
      </w:r>
    </w:p>
    <w:p w14:paraId="56A32D40">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.3 工作组及职责</w:t>
      </w:r>
    </w:p>
    <w:p w14:paraId="3CC10E34">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.4 技术支撑机构及职责</w:t>
      </w:r>
    </w:p>
    <w:p w14:paraId="5DC4A565">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.5 医疗机构及相关企业职责</w:t>
      </w:r>
    </w:p>
    <w:p w14:paraId="10640D3F">
      <w:pPr>
        <w:jc w:val="left"/>
        <w:rPr>
          <w:rFonts w:hint="eastAsia" w:ascii="黑体" w:hAnsi="黑体" w:eastAsia="黑体" w:cs="黑体"/>
          <w:sz w:val="32"/>
          <w:szCs w:val="32"/>
        </w:rPr>
      </w:pPr>
      <w:r>
        <w:rPr>
          <w:rFonts w:hint="eastAsia" w:ascii="微软雅黑" w:hAnsi="微软雅黑" w:eastAsia="微软雅黑" w:cs="微软雅黑"/>
          <w:sz w:val="32"/>
          <w:szCs w:val="32"/>
          <w:lang w:val="en-US" w:eastAsia="zh-CN"/>
        </w:rPr>
        <w:t>4</w:t>
      </w:r>
      <w:r>
        <w:rPr>
          <w:rFonts w:hint="eastAsia" w:ascii="微软雅黑" w:hAnsi="微软雅黑" w:eastAsia="微软雅黑" w:cs="微软雅黑"/>
          <w:sz w:val="32"/>
          <w:szCs w:val="32"/>
        </w:rPr>
        <w:t>监测预警与报告评估</w:t>
      </w:r>
    </w:p>
    <w:p w14:paraId="6AF78031">
      <w:pPr>
        <w:ind w:firstLine="600" w:firstLineChars="200"/>
        <w:rPr>
          <w:rFonts w:ascii="楷体" w:hAnsi="楷体" w:eastAsia="楷体" w:cs="楷体"/>
          <w:sz w:val="30"/>
          <w:szCs w:val="30"/>
        </w:rPr>
      </w:pPr>
      <w:r>
        <w:rPr>
          <w:rFonts w:hint="eastAsia" w:ascii="楷体" w:hAnsi="楷体" w:eastAsia="楷体" w:cs="楷体"/>
          <w:sz w:val="30"/>
          <w:szCs w:val="30"/>
          <w:lang w:val="en-US" w:eastAsia="zh-CN"/>
        </w:rPr>
        <w:t>4</w:t>
      </w:r>
      <w:r>
        <w:rPr>
          <w:rFonts w:hint="eastAsia" w:ascii="楷体" w:hAnsi="楷体" w:eastAsia="楷体" w:cs="楷体"/>
          <w:sz w:val="30"/>
          <w:szCs w:val="30"/>
        </w:rPr>
        <w:t>.1监测</w:t>
      </w:r>
    </w:p>
    <w:p w14:paraId="16827571">
      <w:pPr>
        <w:ind w:firstLine="600" w:firstLineChars="200"/>
        <w:rPr>
          <w:rFonts w:ascii="楷体" w:hAnsi="楷体" w:eastAsia="楷体" w:cs="楷体"/>
          <w:sz w:val="30"/>
          <w:szCs w:val="30"/>
        </w:rPr>
      </w:pPr>
      <w:r>
        <w:rPr>
          <w:rFonts w:hint="eastAsia" w:ascii="楷体" w:hAnsi="楷体" w:eastAsia="楷体" w:cs="楷体"/>
          <w:sz w:val="30"/>
          <w:szCs w:val="30"/>
          <w:lang w:val="en-US" w:eastAsia="zh-CN"/>
        </w:rPr>
        <w:t>4</w:t>
      </w:r>
      <w:r>
        <w:rPr>
          <w:rFonts w:hint="eastAsia" w:ascii="楷体" w:hAnsi="楷体" w:eastAsia="楷体" w:cs="楷体"/>
          <w:sz w:val="30"/>
          <w:szCs w:val="30"/>
        </w:rPr>
        <w:t>.2预警</w:t>
      </w:r>
    </w:p>
    <w:p w14:paraId="18D955B5">
      <w:pPr>
        <w:ind w:firstLine="600" w:firstLineChars="200"/>
        <w:rPr>
          <w:rFonts w:ascii="楷体" w:hAnsi="楷体" w:eastAsia="楷体" w:cs="楷体"/>
          <w:sz w:val="30"/>
          <w:szCs w:val="30"/>
          <w:highlight w:val="none"/>
        </w:rPr>
      </w:pPr>
      <w:r>
        <w:rPr>
          <w:rFonts w:hint="eastAsia" w:ascii="楷体" w:hAnsi="楷体" w:eastAsia="楷体" w:cs="楷体"/>
          <w:sz w:val="30"/>
          <w:szCs w:val="30"/>
          <w:highlight w:val="none"/>
          <w:lang w:val="en-US" w:eastAsia="zh-CN"/>
        </w:rPr>
        <w:t>4</w:t>
      </w:r>
      <w:r>
        <w:rPr>
          <w:rFonts w:hint="eastAsia" w:ascii="楷体" w:hAnsi="楷体" w:eastAsia="楷体" w:cs="楷体"/>
          <w:sz w:val="30"/>
          <w:szCs w:val="30"/>
          <w:highlight w:val="none"/>
        </w:rPr>
        <w:t>.3报告</w:t>
      </w:r>
    </w:p>
    <w:p w14:paraId="1E478F47">
      <w:pPr>
        <w:ind w:firstLine="600" w:firstLineChars="200"/>
        <w:rPr>
          <w:rFonts w:ascii="楷体" w:hAnsi="楷体" w:eastAsia="楷体" w:cs="楷体"/>
          <w:sz w:val="30"/>
          <w:szCs w:val="30"/>
        </w:rPr>
      </w:pPr>
      <w:r>
        <w:rPr>
          <w:rFonts w:hint="eastAsia" w:ascii="楷体" w:hAnsi="楷体" w:eastAsia="楷体" w:cs="楷体"/>
          <w:sz w:val="30"/>
          <w:szCs w:val="30"/>
          <w:lang w:val="en-US" w:eastAsia="zh-CN"/>
        </w:rPr>
        <w:t>4</w:t>
      </w:r>
      <w:r>
        <w:rPr>
          <w:rFonts w:hint="eastAsia" w:ascii="楷体" w:hAnsi="楷体" w:eastAsia="楷体" w:cs="楷体"/>
          <w:sz w:val="30"/>
          <w:szCs w:val="30"/>
        </w:rPr>
        <w:t>.3.1 报告责任主体</w:t>
      </w:r>
    </w:p>
    <w:p w14:paraId="603BC91F">
      <w:pPr>
        <w:ind w:firstLine="600" w:firstLineChars="200"/>
        <w:rPr>
          <w:rFonts w:ascii="楷体" w:hAnsi="楷体" w:eastAsia="楷体" w:cs="楷体"/>
          <w:sz w:val="30"/>
          <w:szCs w:val="30"/>
        </w:rPr>
      </w:pPr>
      <w:r>
        <w:rPr>
          <w:rFonts w:hint="eastAsia" w:ascii="楷体" w:hAnsi="楷体" w:eastAsia="楷体" w:cs="楷体"/>
          <w:sz w:val="30"/>
          <w:szCs w:val="30"/>
          <w:lang w:val="en-US" w:eastAsia="zh-CN"/>
        </w:rPr>
        <w:t>4</w:t>
      </w:r>
      <w:r>
        <w:rPr>
          <w:rFonts w:hint="eastAsia" w:ascii="楷体" w:hAnsi="楷体" w:eastAsia="楷体" w:cs="楷体"/>
          <w:sz w:val="30"/>
          <w:szCs w:val="30"/>
        </w:rPr>
        <w:t>.3.2 报告程序与时限</w:t>
      </w:r>
    </w:p>
    <w:p w14:paraId="183B649D">
      <w:pPr>
        <w:ind w:firstLine="600" w:firstLineChars="200"/>
        <w:rPr>
          <w:rFonts w:ascii="楷体" w:hAnsi="楷体" w:eastAsia="楷体" w:cs="楷体"/>
          <w:sz w:val="30"/>
          <w:szCs w:val="30"/>
        </w:rPr>
      </w:pPr>
      <w:r>
        <w:rPr>
          <w:rFonts w:hint="eastAsia" w:ascii="楷体" w:hAnsi="楷体" w:eastAsia="楷体" w:cs="楷体"/>
          <w:sz w:val="30"/>
          <w:szCs w:val="30"/>
          <w:lang w:val="en-US" w:eastAsia="zh-CN"/>
        </w:rPr>
        <w:t>4</w:t>
      </w:r>
      <w:r>
        <w:rPr>
          <w:rFonts w:hint="eastAsia" w:ascii="楷体" w:hAnsi="楷体" w:eastAsia="楷体" w:cs="楷体"/>
          <w:sz w:val="30"/>
          <w:szCs w:val="30"/>
        </w:rPr>
        <w:t>.3.3 报告内容</w:t>
      </w:r>
    </w:p>
    <w:p w14:paraId="27F1EBDC">
      <w:pPr>
        <w:ind w:firstLine="600" w:firstLineChars="200"/>
        <w:rPr>
          <w:rFonts w:ascii="楷体" w:hAnsi="楷体" w:eastAsia="楷体" w:cs="楷体"/>
          <w:sz w:val="30"/>
          <w:szCs w:val="30"/>
        </w:rPr>
      </w:pPr>
      <w:r>
        <w:rPr>
          <w:rFonts w:hint="eastAsia" w:ascii="楷体" w:hAnsi="楷体" w:eastAsia="楷体" w:cs="楷体"/>
          <w:sz w:val="30"/>
          <w:szCs w:val="30"/>
          <w:lang w:val="en-US" w:eastAsia="zh-CN"/>
        </w:rPr>
        <w:t>4</w:t>
      </w:r>
      <w:r>
        <w:rPr>
          <w:rFonts w:hint="eastAsia" w:ascii="楷体" w:hAnsi="楷体" w:eastAsia="楷体" w:cs="楷体"/>
          <w:sz w:val="30"/>
          <w:szCs w:val="30"/>
        </w:rPr>
        <w:t>.3.4报告方式</w:t>
      </w:r>
    </w:p>
    <w:p w14:paraId="4F494FC5">
      <w:pPr>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5</w:t>
      </w:r>
      <w:r>
        <w:rPr>
          <w:rFonts w:hint="eastAsia" w:ascii="微软雅黑" w:hAnsi="微软雅黑" w:eastAsia="微软雅黑" w:cs="微软雅黑"/>
          <w:sz w:val="32"/>
          <w:szCs w:val="32"/>
        </w:rPr>
        <w:t>应急响应与应急处置</w:t>
      </w:r>
    </w:p>
    <w:p w14:paraId="0BE27D3B">
      <w:pPr>
        <w:ind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lang w:val="en-US" w:eastAsia="zh-CN"/>
        </w:rPr>
        <w:t>5</w:t>
      </w:r>
      <w:r>
        <w:rPr>
          <w:rFonts w:hint="eastAsia" w:ascii="楷体" w:hAnsi="楷体" w:eastAsia="楷体" w:cs="楷体"/>
          <w:sz w:val="32"/>
          <w:szCs w:val="32"/>
          <w:highlight w:val="none"/>
        </w:rPr>
        <w:t>.1前期处置</w:t>
      </w:r>
    </w:p>
    <w:p w14:paraId="08C8924B">
      <w:pPr>
        <w:ind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lang w:val="en-US" w:eastAsia="zh-CN"/>
        </w:rPr>
        <w:t>5</w:t>
      </w:r>
      <w:r>
        <w:rPr>
          <w:rFonts w:hint="eastAsia" w:ascii="楷体" w:hAnsi="楷体" w:eastAsia="楷体" w:cs="楷体"/>
          <w:sz w:val="32"/>
          <w:szCs w:val="32"/>
          <w:highlight w:val="none"/>
        </w:rPr>
        <w:t>.2分级响应</w:t>
      </w:r>
    </w:p>
    <w:p w14:paraId="2FC7EA05">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.2.1</w:t>
      </w:r>
      <w:r>
        <w:rPr>
          <w:rFonts w:ascii="楷体" w:hAnsi="楷体" w:eastAsia="楷体" w:cs="楷体"/>
          <w:sz w:val="32"/>
          <w:szCs w:val="32"/>
        </w:rPr>
        <w:t xml:space="preserve"> </w:t>
      </w:r>
      <w:r>
        <w:rPr>
          <w:rFonts w:hint="eastAsia" w:ascii="楷体" w:hAnsi="楷体" w:eastAsia="楷体" w:cs="楷体"/>
          <w:sz w:val="32"/>
          <w:szCs w:val="32"/>
        </w:rPr>
        <w:t>Ⅰ级应急响应</w:t>
      </w:r>
    </w:p>
    <w:p w14:paraId="6836088D">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.2.2</w:t>
      </w:r>
      <w:r>
        <w:rPr>
          <w:rFonts w:ascii="楷体" w:hAnsi="楷体" w:eastAsia="楷体" w:cs="楷体"/>
          <w:sz w:val="32"/>
          <w:szCs w:val="32"/>
        </w:rPr>
        <w:t xml:space="preserve"> </w:t>
      </w:r>
      <w:r>
        <w:rPr>
          <w:rFonts w:hint="eastAsia" w:ascii="楷体" w:hAnsi="楷体" w:eastAsia="楷体" w:cs="楷体"/>
          <w:sz w:val="32"/>
          <w:szCs w:val="32"/>
        </w:rPr>
        <w:t>Ⅱ级应急响应</w:t>
      </w:r>
    </w:p>
    <w:p w14:paraId="7A41C00B">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5</w:t>
      </w:r>
      <w:r>
        <w:rPr>
          <w:rFonts w:hint="default" w:ascii="楷体" w:hAnsi="楷体" w:eastAsia="楷体" w:cs="楷体"/>
          <w:sz w:val="32"/>
          <w:szCs w:val="32"/>
          <w:lang w:eastAsia="zh-CN"/>
        </w:rPr>
        <w:t>.2.</w:t>
      </w:r>
      <w:r>
        <w:rPr>
          <w:rFonts w:hint="eastAsia" w:ascii="楷体" w:hAnsi="楷体" w:eastAsia="楷体" w:cs="楷体"/>
          <w:sz w:val="32"/>
          <w:szCs w:val="32"/>
          <w:lang w:val="en-US" w:eastAsia="zh-CN"/>
        </w:rPr>
        <w:t>3</w:t>
      </w:r>
      <w:r>
        <w:rPr>
          <w:rFonts w:hint="default" w:ascii="楷体" w:hAnsi="楷体" w:eastAsia="楷体" w:cs="楷体"/>
          <w:sz w:val="32"/>
          <w:szCs w:val="32"/>
          <w:lang w:val="en-US" w:eastAsia="zh-CN"/>
        </w:rPr>
        <w:t xml:space="preserve"> 市政府及各县、区人民政府的</w:t>
      </w:r>
      <w:r>
        <w:rPr>
          <w:rFonts w:hint="default" w:ascii="楷体" w:hAnsi="楷体" w:eastAsia="楷体" w:cs="楷体"/>
          <w:sz w:val="32"/>
          <w:szCs w:val="32"/>
          <w:lang w:eastAsia="zh-CN"/>
        </w:rPr>
        <w:t>I级、Ⅱ级应急响应措施</w:t>
      </w:r>
    </w:p>
    <w:p w14:paraId="0A0B6D33">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.2.</w:t>
      </w:r>
      <w:r>
        <w:rPr>
          <w:rFonts w:hint="eastAsia" w:ascii="楷体" w:hAnsi="楷体" w:eastAsia="楷体" w:cs="楷体"/>
          <w:sz w:val="32"/>
          <w:szCs w:val="32"/>
          <w:lang w:val="en-US" w:eastAsia="zh-CN"/>
        </w:rPr>
        <w:t xml:space="preserve">4 </w:t>
      </w:r>
      <w:r>
        <w:rPr>
          <w:rFonts w:hint="eastAsia" w:ascii="楷体" w:hAnsi="楷体" w:eastAsia="楷体" w:cs="楷体"/>
          <w:sz w:val="32"/>
          <w:szCs w:val="32"/>
        </w:rPr>
        <w:t>Ⅲ级应急响应</w:t>
      </w:r>
    </w:p>
    <w:p w14:paraId="41D419C9">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.2.</w:t>
      </w:r>
      <w:r>
        <w:rPr>
          <w:rFonts w:hint="eastAsia" w:ascii="楷体" w:hAnsi="楷体" w:eastAsia="楷体" w:cs="楷体"/>
          <w:sz w:val="32"/>
          <w:szCs w:val="32"/>
          <w:lang w:val="en-US" w:eastAsia="zh-CN"/>
        </w:rPr>
        <w:t>5</w:t>
      </w:r>
      <w:r>
        <w:rPr>
          <w:rFonts w:ascii="楷体" w:hAnsi="楷体" w:eastAsia="楷体" w:cs="楷体"/>
          <w:sz w:val="32"/>
          <w:szCs w:val="32"/>
        </w:rPr>
        <w:t xml:space="preserve"> </w:t>
      </w:r>
      <w:r>
        <w:rPr>
          <w:rFonts w:hint="eastAsia" w:ascii="楷体" w:hAnsi="楷体" w:eastAsia="楷体" w:cs="楷体"/>
          <w:sz w:val="32"/>
          <w:szCs w:val="32"/>
        </w:rPr>
        <w:t>Ⅳ级应急响应</w:t>
      </w:r>
    </w:p>
    <w:p w14:paraId="5C17F463">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.3 应急响应级别调整和响应终止</w:t>
      </w:r>
    </w:p>
    <w:p w14:paraId="3CA6C5CF">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.3.1应急响应级别调整</w:t>
      </w:r>
    </w:p>
    <w:p w14:paraId="37D1717D">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.3.2响应终止</w:t>
      </w:r>
    </w:p>
    <w:p w14:paraId="29CFB800">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.4 信息发布</w:t>
      </w:r>
    </w:p>
    <w:p w14:paraId="5AE70996">
      <w:pPr>
        <w:rPr>
          <w:rFonts w:hint="eastAsia" w:ascii="黑体" w:hAnsi="黑体" w:eastAsia="黑体" w:cs="黑体"/>
          <w:sz w:val="32"/>
          <w:szCs w:val="32"/>
        </w:rPr>
      </w:pPr>
      <w:r>
        <w:rPr>
          <w:rFonts w:hint="eastAsia" w:ascii="微软雅黑" w:hAnsi="微软雅黑" w:eastAsia="微软雅黑" w:cs="微软雅黑"/>
          <w:sz w:val="32"/>
          <w:szCs w:val="32"/>
          <w:lang w:val="en-US" w:eastAsia="zh-CN"/>
        </w:rPr>
        <w:t>6</w:t>
      </w:r>
      <w:r>
        <w:rPr>
          <w:rFonts w:hint="eastAsia" w:ascii="微软雅黑" w:hAnsi="微软雅黑" w:eastAsia="微软雅黑" w:cs="微软雅黑"/>
          <w:sz w:val="32"/>
          <w:szCs w:val="32"/>
        </w:rPr>
        <w:t>后期处置与总结评估</w:t>
      </w:r>
    </w:p>
    <w:p w14:paraId="451CF289">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.1 后期处置</w:t>
      </w:r>
    </w:p>
    <w:p w14:paraId="633C5ADF">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.2 奖惩措施</w:t>
      </w:r>
    </w:p>
    <w:p w14:paraId="16839458">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6</w:t>
      </w:r>
      <w:r>
        <w:rPr>
          <w:rFonts w:hint="eastAsia" w:ascii="楷体" w:hAnsi="楷体" w:eastAsia="楷体" w:cs="楷体"/>
          <w:sz w:val="32"/>
          <w:szCs w:val="32"/>
        </w:rPr>
        <w:t>.3 总结评估</w:t>
      </w:r>
    </w:p>
    <w:p w14:paraId="6CB55040">
      <w:pPr>
        <w:rPr>
          <w:rFonts w:hint="eastAsia" w:ascii="黑体" w:hAnsi="黑体" w:eastAsia="黑体" w:cs="黑体"/>
          <w:sz w:val="32"/>
          <w:szCs w:val="32"/>
        </w:rPr>
      </w:pPr>
      <w:r>
        <w:rPr>
          <w:rFonts w:hint="eastAsia" w:ascii="微软雅黑" w:hAnsi="微软雅黑" w:eastAsia="微软雅黑" w:cs="微软雅黑"/>
          <w:sz w:val="32"/>
          <w:szCs w:val="32"/>
          <w:lang w:val="en-US" w:eastAsia="zh-CN"/>
        </w:rPr>
        <w:t>7</w:t>
      </w:r>
      <w:r>
        <w:rPr>
          <w:rFonts w:hint="eastAsia" w:ascii="微软雅黑" w:hAnsi="微软雅黑" w:eastAsia="微软雅黑" w:cs="微软雅黑"/>
          <w:sz w:val="32"/>
          <w:szCs w:val="32"/>
        </w:rPr>
        <w:t>应急保障</w:t>
      </w:r>
    </w:p>
    <w:p w14:paraId="24503AEE">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.1物资经费</w:t>
      </w:r>
    </w:p>
    <w:p w14:paraId="20C467E6">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.2医疗救治</w:t>
      </w:r>
    </w:p>
    <w:p w14:paraId="30023A79">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.3应急队伍</w:t>
      </w:r>
    </w:p>
    <w:p w14:paraId="089C6141">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.4技术支撑</w:t>
      </w:r>
    </w:p>
    <w:p w14:paraId="4112790E">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.5 信息报送</w:t>
      </w:r>
    </w:p>
    <w:p w14:paraId="763B17EB">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.6 培训演练</w:t>
      </w:r>
    </w:p>
    <w:p w14:paraId="134B2A16">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.7 宣传教育</w:t>
      </w:r>
    </w:p>
    <w:p w14:paraId="5C95E6F4">
      <w:pPr>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8</w:t>
      </w:r>
      <w:r>
        <w:rPr>
          <w:rFonts w:hint="eastAsia" w:ascii="微软雅黑" w:hAnsi="微软雅黑" w:eastAsia="微软雅黑" w:cs="微软雅黑"/>
          <w:sz w:val="32"/>
          <w:szCs w:val="32"/>
        </w:rPr>
        <w:t>附则</w:t>
      </w:r>
    </w:p>
    <w:p w14:paraId="4341B283">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8</w:t>
      </w:r>
      <w:r>
        <w:rPr>
          <w:rFonts w:hint="eastAsia" w:ascii="楷体" w:hAnsi="楷体" w:eastAsia="楷体" w:cs="楷体"/>
          <w:sz w:val="32"/>
          <w:szCs w:val="32"/>
        </w:rPr>
        <w:t>.1预案管理</w:t>
      </w:r>
    </w:p>
    <w:p w14:paraId="2C3B8E99">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8.2名词术语</w:t>
      </w:r>
    </w:p>
    <w:p w14:paraId="52E329A4">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8</w:t>
      </w:r>
      <w:r>
        <w:rPr>
          <w:rFonts w:hint="eastAsia" w:ascii="楷体" w:hAnsi="楷体" w:eastAsia="楷体" w:cs="楷体"/>
          <w:sz w:val="32"/>
          <w:szCs w:val="32"/>
        </w:rPr>
        <w:t>.</w:t>
      </w:r>
      <w:r>
        <w:rPr>
          <w:rFonts w:hint="eastAsia" w:ascii="楷体" w:hAnsi="楷体" w:eastAsia="楷体" w:cs="楷体"/>
          <w:sz w:val="32"/>
          <w:szCs w:val="32"/>
          <w:lang w:val="en-US" w:eastAsia="zh-CN"/>
        </w:rPr>
        <w:t>3</w:t>
      </w:r>
      <w:r>
        <w:rPr>
          <w:rFonts w:hint="eastAsia" w:ascii="楷体" w:hAnsi="楷体" w:eastAsia="楷体" w:cs="楷体"/>
          <w:sz w:val="32"/>
          <w:szCs w:val="32"/>
        </w:rPr>
        <w:t xml:space="preserve"> 预案实施</w:t>
      </w:r>
    </w:p>
    <w:p w14:paraId="6A613B4F">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8</w:t>
      </w:r>
      <w:r>
        <w:rPr>
          <w:rFonts w:hint="eastAsia" w:ascii="楷体" w:hAnsi="楷体" w:eastAsia="楷体" w:cs="楷体"/>
          <w:sz w:val="32"/>
          <w:szCs w:val="32"/>
        </w:rPr>
        <w:t>.</w:t>
      </w:r>
      <w:r>
        <w:rPr>
          <w:rFonts w:hint="eastAsia" w:ascii="楷体" w:hAnsi="楷体" w:eastAsia="楷体" w:cs="楷体"/>
          <w:sz w:val="32"/>
          <w:szCs w:val="32"/>
          <w:lang w:val="en-US" w:eastAsia="zh-CN"/>
        </w:rPr>
        <w:t>4</w:t>
      </w:r>
      <w:r>
        <w:rPr>
          <w:rFonts w:hint="eastAsia" w:ascii="楷体" w:hAnsi="楷体" w:eastAsia="楷体" w:cs="楷体"/>
          <w:sz w:val="32"/>
          <w:szCs w:val="32"/>
        </w:rPr>
        <w:t xml:space="preserve"> 预案解释部门</w:t>
      </w:r>
    </w:p>
    <w:p w14:paraId="37A4C448">
      <w:pPr>
        <w:rPr>
          <w:rFonts w:ascii="仿宋" w:hAnsi="仿宋" w:eastAsia="仿宋" w:cs="仿宋"/>
          <w:sz w:val="30"/>
          <w:szCs w:val="30"/>
        </w:rPr>
      </w:pPr>
      <w:r>
        <w:rPr>
          <w:rFonts w:hint="eastAsia" w:ascii="仿宋" w:hAnsi="仿宋" w:eastAsia="仿宋" w:cs="仿宋"/>
          <w:sz w:val="30"/>
          <w:szCs w:val="30"/>
        </w:rPr>
        <w:br w:type="page"/>
      </w:r>
    </w:p>
    <w:p w14:paraId="4B475611">
      <w:pPr>
        <w:ind w:firstLine="640" w:firstLineChars="200"/>
        <w:rPr>
          <w:rFonts w:hint="eastAsia" w:ascii="黑体" w:hAnsi="黑体" w:eastAsia="黑体" w:cs="黑体"/>
          <w:sz w:val="32"/>
          <w:szCs w:val="32"/>
        </w:rPr>
      </w:pPr>
      <w:r>
        <w:rPr>
          <w:rFonts w:hint="eastAsia" w:ascii="微软雅黑" w:hAnsi="微软雅黑" w:eastAsia="微软雅黑" w:cs="微软雅黑"/>
          <w:sz w:val="32"/>
          <w:szCs w:val="32"/>
        </w:rPr>
        <w:t>1总则</w:t>
      </w:r>
    </w:p>
    <w:p w14:paraId="733686E9">
      <w:pPr>
        <w:ind w:firstLine="640" w:firstLineChars="200"/>
        <w:rPr>
          <w:rFonts w:ascii="楷体" w:hAnsi="楷体" w:eastAsia="楷体" w:cs="楷体"/>
          <w:sz w:val="32"/>
          <w:szCs w:val="32"/>
        </w:rPr>
      </w:pPr>
      <w:r>
        <w:rPr>
          <w:rFonts w:hint="eastAsia" w:ascii="楷体" w:hAnsi="楷体" w:eastAsia="楷体" w:cs="楷体"/>
          <w:sz w:val="32"/>
          <w:szCs w:val="32"/>
        </w:rPr>
        <w:t>1.1编制目的</w:t>
      </w:r>
    </w:p>
    <w:p w14:paraId="042A7088">
      <w:pPr>
        <w:ind w:firstLine="640" w:firstLineChars="200"/>
        <w:rPr>
          <w:rFonts w:ascii="仿宋" w:hAnsi="仿宋" w:eastAsia="仿宋" w:cs="仿宋"/>
          <w:sz w:val="32"/>
          <w:szCs w:val="32"/>
        </w:rPr>
      </w:pPr>
      <w:r>
        <w:rPr>
          <w:rFonts w:hint="eastAsia" w:ascii="仿宋" w:hAnsi="仿宋" w:eastAsia="仿宋" w:cs="仿宋"/>
          <w:sz w:val="32"/>
          <w:szCs w:val="32"/>
        </w:rPr>
        <w:t>建立健全药品安全突发事件</w:t>
      </w:r>
      <w:r>
        <w:rPr>
          <w:rFonts w:hint="eastAsia" w:ascii="仿宋" w:hAnsi="仿宋" w:eastAsia="仿宋" w:cs="仿宋"/>
          <w:color w:val="auto"/>
          <w:sz w:val="32"/>
          <w:szCs w:val="32"/>
        </w:rPr>
        <w:t>（含医疗器械，下同）</w:t>
      </w:r>
      <w:r>
        <w:rPr>
          <w:rFonts w:hint="eastAsia" w:ascii="仿宋" w:hAnsi="仿宋" w:eastAsia="仿宋" w:cs="仿宋"/>
          <w:sz w:val="32"/>
          <w:szCs w:val="32"/>
        </w:rPr>
        <w:t>应急处置机制，有效预防、积极应对、及时控制各类药品安全突发事件，高效组织应急处置工作，最大限度降低药品安全突发事件危害，保障公众身体健康和生命安全，维护正常经济社会秩序。</w:t>
      </w:r>
    </w:p>
    <w:p w14:paraId="47263585">
      <w:pPr>
        <w:ind w:firstLine="640" w:firstLineChars="200"/>
        <w:rPr>
          <w:rFonts w:ascii="楷体" w:hAnsi="楷体" w:eastAsia="楷体" w:cs="楷体"/>
          <w:sz w:val="32"/>
          <w:szCs w:val="32"/>
        </w:rPr>
      </w:pPr>
      <w:r>
        <w:rPr>
          <w:rFonts w:hint="eastAsia" w:ascii="楷体" w:hAnsi="楷体" w:eastAsia="楷体" w:cs="楷体"/>
          <w:sz w:val="32"/>
          <w:szCs w:val="32"/>
        </w:rPr>
        <w:t>1.2编制依据</w:t>
      </w:r>
    </w:p>
    <w:p w14:paraId="45970CB7">
      <w:pPr>
        <w:ind w:firstLine="640" w:firstLineChars="200"/>
        <w:rPr>
          <w:rFonts w:ascii="仿宋" w:hAnsi="仿宋" w:eastAsia="仿宋" w:cs="仿宋"/>
          <w:sz w:val="32"/>
          <w:szCs w:val="32"/>
        </w:rPr>
      </w:pPr>
      <w:r>
        <w:rPr>
          <w:rFonts w:hint="eastAsia" w:ascii="仿宋" w:hAnsi="仿宋" w:eastAsia="仿宋" w:cs="仿宋"/>
          <w:sz w:val="32"/>
          <w:szCs w:val="32"/>
        </w:rPr>
        <w:t>依据《中华人民共和国突发事件应对法》《中华人民共和国药品管理法》</w:t>
      </w:r>
      <w:r>
        <w:rPr>
          <w:rFonts w:hint="eastAsia" w:ascii="仿宋" w:hAnsi="仿宋" w:eastAsia="仿宋" w:cs="仿宋"/>
          <w:color w:val="auto"/>
          <w:sz w:val="32"/>
          <w:szCs w:val="32"/>
        </w:rPr>
        <w:t>《医疗器械监督管理条例》</w:t>
      </w:r>
      <w:r>
        <w:rPr>
          <w:rFonts w:hint="eastAsia" w:ascii="仿宋" w:hAnsi="仿宋" w:eastAsia="仿宋" w:cs="仿宋"/>
          <w:color w:val="auto"/>
          <w:sz w:val="32"/>
          <w:szCs w:val="32"/>
          <w:lang w:eastAsia="zh-CN"/>
        </w:rPr>
        <w:t>、</w:t>
      </w:r>
      <w:r>
        <w:rPr>
          <w:rFonts w:hint="eastAsia" w:ascii="仿宋" w:hAnsi="仿宋" w:eastAsia="仿宋" w:cs="仿宋"/>
          <w:sz w:val="32"/>
          <w:szCs w:val="32"/>
        </w:rPr>
        <w:t>《突发公共卫生事件应急条例》《辽宁省突发事件应对条例》等法律法规，</w:t>
      </w:r>
      <w:r>
        <w:rPr>
          <w:rFonts w:hint="eastAsia" w:ascii="仿宋" w:hAnsi="仿宋" w:eastAsia="仿宋" w:cs="仿宋"/>
          <w:sz w:val="32"/>
          <w:szCs w:val="32"/>
          <w:lang w:val="en-US" w:eastAsia="zh-CN"/>
        </w:rPr>
        <w:t>以及</w:t>
      </w:r>
      <w:r>
        <w:rPr>
          <w:rFonts w:hint="eastAsia" w:ascii="仿宋" w:hAnsi="仿宋" w:eastAsia="仿宋" w:cs="仿宋"/>
          <w:sz w:val="32"/>
          <w:szCs w:val="32"/>
        </w:rPr>
        <w:t>《</w:t>
      </w:r>
      <w:r>
        <w:rPr>
          <w:rFonts w:hint="eastAsia" w:ascii="仿宋" w:hAnsi="仿宋" w:eastAsia="仿宋" w:cs="仿宋"/>
          <w:sz w:val="32"/>
          <w:szCs w:val="32"/>
          <w:lang w:eastAsia="zh-CN"/>
        </w:rPr>
        <w:t>本溪市</w:t>
      </w:r>
      <w:r>
        <w:rPr>
          <w:rFonts w:hint="eastAsia" w:ascii="仿宋" w:hAnsi="仿宋" w:eastAsia="仿宋" w:cs="仿宋"/>
          <w:sz w:val="32"/>
          <w:szCs w:val="32"/>
        </w:rPr>
        <w:t>突发事件总体应急预案》《辽宁省药品安全突发事件应急预案》等有关规定，制定本预案。</w:t>
      </w:r>
    </w:p>
    <w:p w14:paraId="6D82BB83">
      <w:pPr>
        <w:ind w:firstLine="640" w:firstLineChars="200"/>
        <w:rPr>
          <w:rFonts w:ascii="楷体" w:hAnsi="楷体" w:eastAsia="楷体" w:cs="楷体"/>
          <w:sz w:val="32"/>
          <w:szCs w:val="32"/>
        </w:rPr>
      </w:pPr>
      <w:r>
        <w:rPr>
          <w:rFonts w:hint="eastAsia" w:ascii="楷体" w:hAnsi="楷体" w:eastAsia="楷体" w:cs="楷体"/>
          <w:sz w:val="32"/>
          <w:szCs w:val="32"/>
        </w:rPr>
        <w:t>1.3 适用范围</w:t>
      </w:r>
    </w:p>
    <w:p w14:paraId="48C5B0AB">
      <w:pPr>
        <w:ind w:firstLine="640" w:firstLineChars="200"/>
        <w:rPr>
          <w:rFonts w:ascii="仿宋" w:hAnsi="仿宋" w:eastAsia="仿宋" w:cs="仿宋"/>
          <w:sz w:val="32"/>
          <w:szCs w:val="32"/>
        </w:rPr>
      </w:pPr>
      <w:r>
        <w:rPr>
          <w:rFonts w:hint="eastAsia" w:ascii="仿宋" w:hAnsi="仿宋" w:eastAsia="仿宋" w:cs="仿宋"/>
          <w:sz w:val="32"/>
          <w:szCs w:val="32"/>
        </w:rPr>
        <w:t>本预案适用于本溪市行政区域内药品安全突发事件应急处置工作。县 (区) 政府应参照本预案的组织体系和职责分工，结合实际制定本级药品安全突发事件应急预案。</w:t>
      </w:r>
    </w:p>
    <w:p w14:paraId="1CD38925">
      <w:pPr>
        <w:ind w:firstLine="640" w:firstLineChars="200"/>
        <w:rPr>
          <w:rFonts w:ascii="楷体" w:hAnsi="楷体" w:eastAsia="楷体" w:cs="楷体"/>
          <w:sz w:val="32"/>
          <w:szCs w:val="32"/>
        </w:rPr>
      </w:pPr>
      <w:r>
        <w:rPr>
          <w:rFonts w:hint="eastAsia" w:ascii="楷体" w:hAnsi="楷体" w:eastAsia="楷体" w:cs="楷体"/>
          <w:sz w:val="32"/>
          <w:szCs w:val="32"/>
        </w:rPr>
        <w:t>1.4 处置原则</w:t>
      </w:r>
    </w:p>
    <w:p w14:paraId="776B7BD8">
      <w:pPr>
        <w:ind w:firstLine="640" w:firstLineChars="200"/>
        <w:rPr>
          <w:rFonts w:hint="eastAsia" w:ascii="仿宋" w:hAnsi="仿宋" w:eastAsia="仿宋" w:cs="仿宋"/>
          <w:sz w:val="32"/>
          <w:szCs w:val="32"/>
        </w:rPr>
      </w:pPr>
      <w:r>
        <w:rPr>
          <w:rFonts w:hint="eastAsia" w:ascii="仿宋" w:hAnsi="仿宋" w:eastAsia="仿宋" w:cs="仿宋"/>
          <w:sz w:val="32"/>
          <w:szCs w:val="32"/>
        </w:rPr>
        <w:t>人民至上、生命至上。坚持以人民为中心的发展思想，把保障人民群众身体健康和生命安全作为应急处置工作的首要任务，最大限度地降低药品安全突发事件造成的人员伤</w:t>
      </w:r>
      <w:r>
        <w:rPr>
          <w:rFonts w:hint="eastAsia" w:ascii="仿宋" w:hAnsi="仿宋" w:eastAsia="仿宋" w:cs="仿宋"/>
          <w:sz w:val="32"/>
          <w:szCs w:val="32"/>
          <w:lang w:eastAsia="zh-CN"/>
        </w:rPr>
        <w:t>亡</w:t>
      </w:r>
      <w:r>
        <w:rPr>
          <w:rFonts w:hint="eastAsia" w:ascii="仿宋" w:hAnsi="仿宋" w:eastAsia="仿宋" w:cs="仿宋"/>
          <w:sz w:val="32"/>
          <w:szCs w:val="32"/>
        </w:rPr>
        <w:t>和健康损害。</w:t>
      </w:r>
    </w:p>
    <w:p w14:paraId="5E16724A">
      <w:pPr>
        <w:ind w:firstLine="640" w:firstLineChars="200"/>
        <w:rPr>
          <w:rFonts w:hint="eastAsia" w:ascii="仿宋" w:hAnsi="仿宋" w:eastAsia="仿宋" w:cs="仿宋"/>
          <w:sz w:val="32"/>
          <w:szCs w:val="32"/>
        </w:rPr>
      </w:pPr>
      <w:r>
        <w:rPr>
          <w:rFonts w:hint="eastAsia" w:ascii="仿宋" w:hAnsi="仿宋" w:eastAsia="仿宋" w:cs="仿宋"/>
          <w:sz w:val="32"/>
          <w:szCs w:val="32"/>
        </w:rPr>
        <w:t>统一领导、分级负责。市、县（区）政府应落实属地管</w:t>
      </w:r>
      <w:r>
        <w:rPr>
          <w:rFonts w:hint="eastAsia" w:ascii="仿宋" w:hAnsi="仿宋" w:eastAsia="仿宋" w:cs="仿宋"/>
          <w:sz w:val="32"/>
          <w:szCs w:val="32"/>
          <w:lang w:eastAsia="zh-CN"/>
        </w:rPr>
        <w:t>理</w:t>
      </w:r>
      <w:r>
        <w:rPr>
          <w:rFonts w:hint="eastAsia" w:ascii="仿宋" w:hAnsi="仿宋" w:eastAsia="仿宋" w:cs="仿宋"/>
          <w:sz w:val="32"/>
          <w:szCs w:val="32"/>
        </w:rPr>
        <w:t>责任，根据药品安全突发事件严重程度，分级组织开展应对处置工作。</w:t>
      </w:r>
    </w:p>
    <w:p w14:paraId="25468048">
      <w:pPr>
        <w:ind w:firstLine="640" w:firstLineChars="200"/>
        <w:rPr>
          <w:rFonts w:hint="eastAsia" w:ascii="仿宋" w:hAnsi="仿宋" w:eastAsia="仿宋" w:cs="仿宋"/>
          <w:sz w:val="32"/>
          <w:szCs w:val="32"/>
        </w:rPr>
      </w:pPr>
      <w:r>
        <w:rPr>
          <w:rFonts w:hint="eastAsia" w:ascii="仿宋" w:hAnsi="仿宋" w:eastAsia="仿宋" w:cs="仿宋"/>
          <w:sz w:val="32"/>
          <w:szCs w:val="32"/>
        </w:rPr>
        <w:t>快速响应、协同应对。市、县（区）政府及相关部门应加强药品安全突发事件应对处置协调联动，建立快速响应机制，在规定的时间内开展应急处置工作，尽力降低社会影响</w:t>
      </w:r>
      <w:r>
        <w:rPr>
          <w:rFonts w:hint="eastAsia" w:ascii="仿宋" w:hAnsi="仿宋" w:eastAsia="仿宋" w:cs="仿宋"/>
          <w:sz w:val="32"/>
          <w:szCs w:val="32"/>
          <w:lang w:eastAsia="zh-CN"/>
        </w:rPr>
        <w:t>，</w:t>
      </w:r>
      <w:r>
        <w:rPr>
          <w:rFonts w:hint="eastAsia" w:ascii="仿宋" w:hAnsi="仿宋" w:eastAsia="仿宋" w:cs="仿宋"/>
          <w:sz w:val="32"/>
          <w:szCs w:val="32"/>
        </w:rPr>
        <w:t>预防为主、依法处置</w:t>
      </w:r>
      <w:r>
        <w:rPr>
          <w:rFonts w:hint="eastAsia" w:ascii="仿宋" w:hAnsi="仿宋" w:eastAsia="仿宋" w:cs="仿宋"/>
          <w:sz w:val="32"/>
          <w:szCs w:val="32"/>
          <w:lang w:eastAsia="zh-CN"/>
        </w:rPr>
        <w:t>，</w:t>
      </w:r>
      <w:r>
        <w:rPr>
          <w:rFonts w:hint="eastAsia" w:ascii="仿宋" w:hAnsi="仿宋" w:eastAsia="仿宋" w:cs="仿宋"/>
          <w:sz w:val="32"/>
          <w:szCs w:val="32"/>
        </w:rPr>
        <w:t xml:space="preserve"> 市、县（区）政府及相关部门应建立健全药品安全风险防控机制，坚持常态化预防与紧急控制相结合，依法依规做好药品安全突发事件防范和应急处置工作。</w:t>
      </w:r>
    </w:p>
    <w:p w14:paraId="21850F12">
      <w:pPr>
        <w:ind w:firstLine="640" w:firstLineChars="200"/>
        <w:rPr>
          <w:rFonts w:ascii="楷体" w:hAnsi="楷体" w:eastAsia="楷体" w:cs="楷体"/>
          <w:sz w:val="32"/>
          <w:szCs w:val="32"/>
        </w:rPr>
      </w:pPr>
      <w:r>
        <w:rPr>
          <w:rFonts w:hint="eastAsia" w:ascii="楷体" w:hAnsi="楷体" w:eastAsia="楷体" w:cs="楷体"/>
          <w:sz w:val="32"/>
          <w:szCs w:val="32"/>
        </w:rPr>
        <w:t>1.5 事件分级</w:t>
      </w:r>
    </w:p>
    <w:p w14:paraId="319F9D88">
      <w:pPr>
        <w:ind w:firstLine="640" w:firstLineChars="200"/>
        <w:rPr>
          <w:rFonts w:ascii="仿宋" w:hAnsi="仿宋" w:eastAsia="仿宋" w:cs="仿宋"/>
          <w:sz w:val="32"/>
          <w:szCs w:val="32"/>
        </w:rPr>
      </w:pPr>
      <w:r>
        <w:rPr>
          <w:rFonts w:hint="eastAsia" w:ascii="仿宋" w:hAnsi="仿宋" w:eastAsia="仿宋" w:cs="仿宋"/>
          <w:sz w:val="32"/>
          <w:szCs w:val="32"/>
        </w:rPr>
        <w:t>本预案所称药品 (不含疫苗) 安全突发事件，是指对公众生命健康造成或可能造成严重损害，需要采取应急处置措施予以应对的药品群体性不良事件、药品质量事件，以及其他严重影响公众生命健康的药品安全事件。</w:t>
      </w:r>
    </w:p>
    <w:p w14:paraId="0207E135">
      <w:pPr>
        <w:ind w:firstLine="640" w:firstLineChars="200"/>
        <w:rPr>
          <w:rFonts w:hint="eastAsia" w:ascii="仿宋" w:hAnsi="仿宋" w:eastAsia="仿宋" w:cs="仿宋"/>
          <w:sz w:val="32"/>
          <w:szCs w:val="32"/>
        </w:rPr>
      </w:pPr>
      <w:r>
        <w:rPr>
          <w:rFonts w:hint="eastAsia" w:ascii="仿宋" w:hAnsi="仿宋" w:eastAsia="仿宋" w:cs="仿宋"/>
          <w:sz w:val="32"/>
          <w:szCs w:val="32"/>
        </w:rPr>
        <w:t>依据事件的危害程度和影响范围等因素，药品安全突发事件分为特别重大药品安全突发事件、重大药品安全突发事件、较大药品安全突发事件和一般药品安全突发事件 4 个等级 (具体分级标准详见附件 1)。</w:t>
      </w:r>
    </w:p>
    <w:p w14:paraId="5A4D6D9D">
      <w:pPr>
        <w:ind w:firstLine="640" w:firstLineChars="200"/>
        <w:jc w:val="left"/>
        <w:rPr>
          <w:rFonts w:hint="eastAsia" w:ascii="黑体" w:hAnsi="黑体" w:eastAsia="黑体" w:cs="黑体"/>
          <w:bCs/>
          <w:sz w:val="32"/>
          <w:szCs w:val="32"/>
          <w:lang w:val="en-US" w:eastAsia="zh-CN"/>
        </w:rPr>
      </w:pPr>
      <w:r>
        <w:rPr>
          <w:rFonts w:hint="eastAsia" w:ascii="微软雅黑" w:hAnsi="微软雅黑" w:eastAsia="微软雅黑" w:cs="微软雅黑"/>
          <w:sz w:val="32"/>
          <w:szCs w:val="32"/>
          <w:lang w:val="en-US" w:eastAsia="zh-CN"/>
        </w:rPr>
        <w:t>2危险性分析</w:t>
      </w:r>
      <w:r>
        <w:rPr>
          <w:rFonts w:hint="eastAsia" w:ascii="黑体" w:hAnsi="黑体" w:eastAsia="黑体" w:cs="黑体"/>
          <w:bCs/>
          <w:sz w:val="32"/>
          <w:szCs w:val="32"/>
          <w:lang w:val="en-US" w:eastAsia="zh-CN"/>
        </w:rPr>
        <w:t xml:space="preserve"> </w:t>
      </w:r>
    </w:p>
    <w:p w14:paraId="40CA9EE4">
      <w:pPr>
        <w:jc w:val="left"/>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市本级药品安全事故</w:t>
      </w:r>
      <w:r>
        <w:rPr>
          <w:rFonts w:hint="eastAsia" w:ascii="仿宋" w:hAnsi="仿宋" w:eastAsia="仿宋" w:cs="仿宋"/>
          <w:bCs/>
          <w:sz w:val="32"/>
          <w:szCs w:val="32"/>
          <w:lang w:eastAsia="zh-CN"/>
        </w:rPr>
        <w:t>主要来自于药品经营单位和医疗机构，</w:t>
      </w:r>
      <w:r>
        <w:rPr>
          <w:rFonts w:hint="eastAsia" w:ascii="仿宋" w:hAnsi="仿宋" w:eastAsia="仿宋" w:cs="仿宋"/>
          <w:sz w:val="32"/>
          <w:szCs w:val="32"/>
          <w:lang w:eastAsia="zh-CN"/>
        </w:rPr>
        <w:t>主要表现为</w:t>
      </w:r>
      <w:r>
        <w:rPr>
          <w:rFonts w:hint="eastAsia" w:ascii="仿宋" w:hAnsi="仿宋" w:eastAsia="仿宋" w:cs="仿宋"/>
          <w:sz w:val="32"/>
          <w:szCs w:val="32"/>
        </w:rPr>
        <w:t>在相对集中的时间和区域内，批号相对集中的同一药品引起临床表现相似的，且罕见或非预期的不良反应的人数超过20 人 (含)，少于 30 人;或者引起特别严重不良反应 (可能对人体造成永久性伤残、对器官功能造成永久性损伤或危及生命)的人数超过3人 (含)，少于 5人;同一批号药品短期内引起 2 人 (含) 以下患者死亡，且在同一区域内同时出现其他类似病例;短期内1个市内 2 个以上县 (市、区) 因同一药品发生一般药品安全突发事件；其他危害较大的药品安全突发事件</w:t>
      </w:r>
      <w:r>
        <w:rPr>
          <w:rFonts w:hint="eastAsia" w:ascii="仿宋" w:hAnsi="仿宋" w:eastAsia="仿宋" w:cs="仿宋"/>
          <w:sz w:val="32"/>
          <w:szCs w:val="32"/>
          <w:lang w:eastAsia="zh-CN"/>
        </w:rPr>
        <w:t>。目前</w:t>
      </w:r>
      <w:r>
        <w:rPr>
          <w:rFonts w:hint="eastAsia" w:ascii="仿宋" w:hAnsi="仿宋" w:eastAsia="仿宋" w:cs="仿宋"/>
          <w:bCs/>
          <w:sz w:val="32"/>
          <w:szCs w:val="32"/>
        </w:rPr>
        <w:t>全市现有</w:t>
      </w:r>
      <w:r>
        <w:rPr>
          <w:rFonts w:hint="eastAsia" w:ascii="仿宋" w:hAnsi="仿宋" w:eastAsia="仿宋" w:cs="仿宋"/>
          <w:bCs/>
          <w:sz w:val="32"/>
          <w:szCs w:val="32"/>
          <w:lang w:eastAsia="zh-CN"/>
        </w:rPr>
        <w:t>药品零售药店</w:t>
      </w:r>
      <w:r>
        <w:rPr>
          <w:rFonts w:hint="eastAsia" w:ascii="仿宋" w:hAnsi="仿宋" w:eastAsia="仿宋" w:cs="仿宋"/>
          <w:bCs/>
          <w:sz w:val="32"/>
          <w:szCs w:val="32"/>
          <w:lang w:val="en-US" w:eastAsia="zh-CN"/>
        </w:rPr>
        <w:t>894家</w:t>
      </w:r>
      <w:r>
        <w:rPr>
          <w:rFonts w:hint="eastAsia" w:ascii="仿宋" w:hAnsi="仿宋" w:eastAsia="仿宋" w:cs="仿宋"/>
          <w:bCs/>
          <w:sz w:val="32"/>
          <w:szCs w:val="32"/>
        </w:rPr>
        <w:t>，</w:t>
      </w:r>
      <w:r>
        <w:rPr>
          <w:rFonts w:hint="eastAsia" w:ascii="仿宋" w:hAnsi="仿宋" w:eastAsia="仿宋" w:cs="仿宋"/>
          <w:bCs/>
          <w:sz w:val="32"/>
          <w:szCs w:val="32"/>
          <w:lang w:eastAsia="zh-CN"/>
        </w:rPr>
        <w:t>医疗器械经营使用单位</w:t>
      </w:r>
      <w:r>
        <w:rPr>
          <w:rFonts w:hint="eastAsia" w:ascii="仿宋" w:hAnsi="仿宋" w:eastAsia="仿宋" w:cs="仿宋"/>
          <w:bCs/>
          <w:sz w:val="32"/>
          <w:szCs w:val="32"/>
          <w:lang w:val="en-US" w:eastAsia="zh-CN"/>
        </w:rPr>
        <w:t>988家，各级各类医疗机构900家。药品安全突发事件一旦发生，容易引发社会舆论，在社会上造成严重不良影响，对</w:t>
      </w:r>
      <w:r>
        <w:rPr>
          <w:rFonts w:hint="eastAsia" w:ascii="仿宋" w:hAnsi="仿宋" w:eastAsia="仿宋" w:cs="仿宋"/>
          <w:sz w:val="32"/>
          <w:szCs w:val="32"/>
        </w:rPr>
        <w:t>公众生命健康造成或可能造成严重损害，需要采取应急处置措施予以应对药品群体性不良事件、药品质量事件，以及其他严重影响公众生命健康的药品安全事件。</w:t>
      </w:r>
      <w:r>
        <w:rPr>
          <w:rFonts w:hint="eastAsia" w:ascii="仿宋" w:hAnsi="仿宋" w:eastAsia="仿宋" w:cs="仿宋"/>
          <w:sz w:val="32"/>
          <w:szCs w:val="32"/>
          <w:lang w:val="en-US" w:eastAsia="zh-CN"/>
        </w:rPr>
        <w:t xml:space="preserve"> </w:t>
      </w:r>
    </w:p>
    <w:p w14:paraId="04EBAE76">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组织指挥体系</w:t>
      </w:r>
    </w:p>
    <w:p w14:paraId="3BB8A3F3">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.1市专项指挥部及职责</w:t>
      </w:r>
    </w:p>
    <w:p w14:paraId="7EED80D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本溪市药品安全突发事件应急专项指挥部 (以下简称市专项指挥部) 由市政府分管副市长担任指挥长，市政府分管副秘书长、市市场监管局主要负责同志任副指挥长，市卫生健康委、市委宣传部、市委网信办、市公安局、市财政局、市市场监管局、</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市场监管事务服务中心</w:t>
      </w:r>
      <w:r>
        <w:rPr>
          <w:rFonts w:hint="eastAsia" w:ascii="仿宋" w:hAnsi="仿宋" w:eastAsia="仿宋" w:cs="仿宋"/>
          <w:color w:val="auto"/>
          <w:sz w:val="32"/>
          <w:szCs w:val="32"/>
        </w:rPr>
        <w:t>负责同志</w:t>
      </w:r>
      <w:r>
        <w:rPr>
          <w:rFonts w:hint="eastAsia" w:ascii="仿宋" w:hAnsi="仿宋" w:eastAsia="仿宋" w:cs="仿宋"/>
          <w:sz w:val="32"/>
          <w:szCs w:val="32"/>
        </w:rPr>
        <w:t>为成员，根据事件性质和处置需要可扩充成员单位。</w:t>
      </w:r>
    </w:p>
    <w:p w14:paraId="3073446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市专项指挥部负责统一领导较大药品安全突发事件应对处置工作，研究较大应急决策和部署，组织发布重要信息，研究解决应急处置中的重大问题，协调药品安全突发事件舆情引导，处理其他重要工作。各成员单位按照工作分工落实应急处置职责，同时配合和协助其他部门做好应急处置工作。</w:t>
      </w:r>
    </w:p>
    <w:p w14:paraId="0A3DF8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市场监管局：组织实施药品安全突发事件调查、确认和处置工作;对药品安全突发事件涉及的相关产品采取紧急控制措施，依法查处违法违规行为;组织开展药品安全突发事件涉及产品的检查核查、不良反应监测、风险评估预警；在县（区）政府专项指挥部提出请求的情况下，直接参与一般级别涉及药品零售环节的药品安全突发事件处置；组织日常安全用药知识科普宣传。 负责对药品安全突发事件中涉及的虚假违法广告、哄抬应急物资价格等市场监管领域违法违规行为进行处理。</w:t>
      </w:r>
    </w:p>
    <w:p w14:paraId="51C101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市卫生健康委:负责组织实施药品安全突发事件中受到健康损害人员的医疗救治工作；协助做好药品不良反应监测和相关数据分析；配合做好药品安全突发事件调查、确认工作。</w:t>
      </w:r>
      <w:r>
        <w:rPr>
          <w:rFonts w:hint="eastAsia" w:ascii="仿宋" w:hAnsi="仿宋" w:eastAsia="仿宋" w:cs="仿宋"/>
          <w:color w:val="auto"/>
          <w:sz w:val="32"/>
          <w:szCs w:val="32"/>
        </w:rPr>
        <w:t>对医疗机构中的药品安全突发事件采取控制措施；组织医疗机构按规定上报药品不良反应事件。</w:t>
      </w:r>
    </w:p>
    <w:p w14:paraId="21BE09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市委宣传部：负责把握舆论导向，组织新闻媒体及时</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rPr>
        <w:t>客观、公正、准确地报道药品安全突发事件信息、应急措施、工作进展及成效经验；积极宣传相关法律法规，做好药品安全突发事件防控科普知识的宣传报道工作。</w:t>
      </w:r>
    </w:p>
    <w:p w14:paraId="331FFE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市委网信办：负责网络舆情监测工作;会同属地和有关部门及时处置网上有关药品安全突发事件的虚假、不实信息，依法查处属地网站违法违规行为，为药品安全突发事件处置创造良好的网络舆论环境</w:t>
      </w:r>
      <w:r>
        <w:rPr>
          <w:rFonts w:hint="eastAsia" w:ascii="仿宋" w:hAnsi="仿宋" w:eastAsia="仿宋" w:cs="仿宋"/>
          <w:sz w:val="32"/>
          <w:szCs w:val="32"/>
          <w:lang w:eastAsia="zh-CN"/>
        </w:rPr>
        <w:t>。</w:t>
      </w:r>
    </w:p>
    <w:p w14:paraId="0FD4DF2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rPr>
        <w:t>市公安局: 负责药品安全突发事件中涉嫌犯罪行为的刑事立案侦查工作，加强对事件现场的治安管理，有效维护公共秩序，及时、妥善处置次生维稳事件</w:t>
      </w:r>
      <w:r>
        <w:rPr>
          <w:rFonts w:hint="eastAsia" w:ascii="仿宋" w:hAnsi="仿宋" w:eastAsia="仿宋" w:cs="仿宋"/>
          <w:color w:val="FF0000"/>
          <w:sz w:val="32"/>
          <w:szCs w:val="32"/>
        </w:rPr>
        <w:t>。</w:t>
      </w:r>
    </w:p>
    <w:p w14:paraId="154A12D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市财政局:负责安排药品安全突发事件应急防控、应对处置所需经费，并做好经费使用的监督管理工作。</w:t>
      </w:r>
    </w:p>
    <w:p w14:paraId="3232779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rPr>
        <w:t xml:space="preserve"> 市</w:t>
      </w:r>
      <w:r>
        <w:rPr>
          <w:rFonts w:hint="eastAsia" w:ascii="仿宋" w:hAnsi="仿宋" w:eastAsia="仿宋" w:cs="仿宋"/>
          <w:color w:val="auto"/>
          <w:sz w:val="32"/>
          <w:szCs w:val="32"/>
          <w:lang w:eastAsia="zh-CN"/>
        </w:rPr>
        <w:t>市场监管事务服务中心</w:t>
      </w:r>
      <w:r>
        <w:rPr>
          <w:rFonts w:hint="eastAsia" w:ascii="仿宋" w:hAnsi="仿宋" w:eastAsia="仿宋" w:cs="仿宋"/>
          <w:color w:val="auto"/>
          <w:sz w:val="32"/>
          <w:szCs w:val="32"/>
        </w:rPr>
        <w:t>:</w:t>
      </w:r>
      <w:r>
        <w:rPr>
          <w:rFonts w:hint="eastAsia" w:ascii="仿宋" w:hAnsi="仿宋" w:eastAsia="仿宋" w:cs="仿宋"/>
          <w:sz w:val="32"/>
          <w:szCs w:val="32"/>
        </w:rPr>
        <w:t xml:space="preserve"> 负责对药品安全突发事件涉及产品的检验检测工作，协助</w:t>
      </w:r>
      <w:r>
        <w:rPr>
          <w:rFonts w:hint="eastAsia" w:ascii="仿宋" w:hAnsi="仿宋" w:eastAsia="仿宋" w:cs="仿宋"/>
          <w:color w:val="auto"/>
          <w:sz w:val="32"/>
          <w:szCs w:val="32"/>
          <w:lang w:eastAsia="zh-CN"/>
        </w:rPr>
        <w:t>市场</w:t>
      </w:r>
      <w:r>
        <w:rPr>
          <w:rFonts w:hint="eastAsia" w:ascii="仿宋" w:hAnsi="仿宋" w:eastAsia="仿宋" w:cs="仿宋"/>
          <w:sz w:val="32"/>
          <w:szCs w:val="32"/>
        </w:rPr>
        <w:t>监督管理部门做好产品抽样等工作。</w:t>
      </w:r>
    </w:p>
    <w:p w14:paraId="113D556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其他有关部门:根据部门职责和处置药品安全突发事件的需要，在市专项指挥部的统一领导下，做好相关工作。</w:t>
      </w:r>
    </w:p>
    <w:p w14:paraId="68B43382">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.2 市专项指挥部办公室及职责</w:t>
      </w:r>
    </w:p>
    <w:p w14:paraId="143AB870">
      <w:pPr>
        <w:ind w:firstLine="640" w:firstLineChars="200"/>
        <w:rPr>
          <w:rFonts w:ascii="仿宋" w:hAnsi="仿宋" w:eastAsia="仿宋" w:cs="仿宋"/>
          <w:sz w:val="32"/>
          <w:szCs w:val="32"/>
        </w:rPr>
      </w:pPr>
      <w:r>
        <w:rPr>
          <w:rFonts w:hint="eastAsia" w:ascii="仿宋" w:hAnsi="仿宋" w:eastAsia="仿宋" w:cs="仿宋"/>
          <w:sz w:val="32"/>
          <w:szCs w:val="32"/>
        </w:rPr>
        <w:t>本溪市药品安全突发事件应急专项指挥部办公室 (以下简称市专项指挥部办公室) 设在市市场监管局，主任由市市场监管局主要负责同志兼任。市专项指挥部办公室主要承担市专项指挥部日常管理工作，</w:t>
      </w:r>
      <w:r>
        <w:rPr>
          <w:rFonts w:hint="eastAsia" w:ascii="仿宋" w:hAnsi="仿宋" w:eastAsia="仿宋" w:cs="仿宋"/>
          <w:sz w:val="32"/>
          <w:szCs w:val="32"/>
          <w:lang w:eastAsia="zh-CN"/>
        </w:rPr>
        <w:t>组织</w:t>
      </w:r>
      <w:r>
        <w:rPr>
          <w:rFonts w:hint="eastAsia" w:ascii="仿宋" w:hAnsi="仿宋" w:eastAsia="仿宋" w:cs="仿宋"/>
          <w:sz w:val="32"/>
          <w:szCs w:val="32"/>
        </w:rPr>
        <w:t>协调有关部门开展药品安全突发事件应急处置; 组织制定药品安全突发事件应急处置的规定和措施;提出启动和终止药品安全突发事件应急响应的建议;检查督促市专项指挥部决策的落实;统一收集、汇总报送市政府的重要信息;组织修订市级药品安全突发事件应急预案，组织开展药品安全突发事件应急培训与演练;组织成员单位会商研讨;报告</w:t>
      </w:r>
      <w:r>
        <w:rPr>
          <w:rFonts w:hint="eastAsia" w:ascii="仿宋" w:hAnsi="仿宋" w:eastAsia="仿宋" w:cs="仿宋"/>
          <w:color w:val="auto"/>
          <w:sz w:val="32"/>
          <w:szCs w:val="32"/>
        </w:rPr>
        <w:t>、</w:t>
      </w:r>
      <w:r>
        <w:rPr>
          <w:rFonts w:hint="eastAsia" w:ascii="仿宋" w:hAnsi="仿宋" w:eastAsia="仿宋" w:cs="仿宋"/>
          <w:sz w:val="32"/>
          <w:szCs w:val="32"/>
        </w:rPr>
        <w:t>通报事件处置进展情况并协调发布相关信息。</w:t>
      </w:r>
    </w:p>
    <w:p w14:paraId="4C2A990A">
      <w:pPr>
        <w:ind w:firstLine="640" w:firstLineChars="200"/>
        <w:rPr>
          <w:rFonts w:ascii="楷体" w:hAnsi="楷体" w:eastAsia="楷体" w:cs="楷体"/>
          <w:sz w:val="30"/>
          <w:szCs w:val="30"/>
        </w:rPr>
      </w:pPr>
      <w:r>
        <w:rPr>
          <w:rFonts w:hint="eastAsia" w:ascii="楷体" w:hAnsi="楷体" w:eastAsia="楷体" w:cs="楷体"/>
          <w:sz w:val="32"/>
          <w:szCs w:val="32"/>
          <w:lang w:val="en-US" w:eastAsia="zh-CN"/>
        </w:rPr>
        <w:t>3</w:t>
      </w:r>
      <w:r>
        <w:rPr>
          <w:rFonts w:hint="eastAsia" w:ascii="楷体" w:hAnsi="楷体" w:eastAsia="楷体" w:cs="楷体"/>
          <w:sz w:val="32"/>
          <w:szCs w:val="32"/>
        </w:rPr>
        <w:t>.3 工作组及职责</w:t>
      </w:r>
    </w:p>
    <w:p w14:paraId="6B48450D">
      <w:pPr>
        <w:ind w:firstLine="640" w:firstLineChars="200"/>
        <w:rPr>
          <w:rFonts w:hint="eastAsia" w:ascii="仿宋" w:hAnsi="仿宋" w:eastAsia="仿宋" w:cs="仿宋"/>
          <w:sz w:val="32"/>
          <w:szCs w:val="32"/>
        </w:rPr>
      </w:pPr>
      <w:r>
        <w:rPr>
          <w:rFonts w:hint="eastAsia" w:ascii="仿宋" w:hAnsi="仿宋" w:eastAsia="仿宋" w:cs="仿宋"/>
          <w:sz w:val="32"/>
          <w:szCs w:val="32"/>
        </w:rPr>
        <w:t>事件调查控制工作组:由市市场监管局牵头，会同市卫生健康委、市公安局、</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市场监管事务服务中心</w:t>
      </w:r>
      <w:r>
        <w:rPr>
          <w:rFonts w:hint="eastAsia" w:ascii="仿宋" w:hAnsi="仿宋" w:eastAsia="仿宋" w:cs="仿宋"/>
          <w:sz w:val="32"/>
          <w:szCs w:val="32"/>
        </w:rPr>
        <w:t>等部门和单位，调查事件发生原因，评估事件影响;组织对可能危害人体生命健康的产品及其相关证据材料采取封存、扣押措施，依法要求涉事企业对问题产品采取停产、召回、下架等控制措施，防止危害蔓延扩大;认定事件单位、机构、人员的责任，提出责任追究建议;对涉嫌犯罪的由公安机关立案侦办;承担市专项指挥部交办的其他工作。</w:t>
      </w:r>
    </w:p>
    <w:p w14:paraId="36614B7D">
      <w:pPr>
        <w:ind w:firstLine="640" w:firstLineChars="200"/>
        <w:rPr>
          <w:rFonts w:ascii="仿宋" w:hAnsi="仿宋" w:eastAsia="仿宋" w:cs="仿宋"/>
          <w:sz w:val="32"/>
          <w:szCs w:val="32"/>
        </w:rPr>
      </w:pPr>
      <w:r>
        <w:rPr>
          <w:rFonts w:hint="eastAsia" w:ascii="仿宋" w:hAnsi="仿宋" w:eastAsia="仿宋" w:cs="仿宋"/>
          <w:sz w:val="32"/>
          <w:szCs w:val="32"/>
        </w:rPr>
        <w:t>医疗救治工作组:由市卫生健康委牵头，组织医疗机构对健康损害人员进行医疗救治。</w:t>
      </w:r>
    </w:p>
    <w:p w14:paraId="5538DDFC">
      <w:pPr>
        <w:ind w:firstLine="640" w:firstLineChars="200"/>
        <w:rPr>
          <w:rFonts w:ascii="仿宋" w:hAnsi="仿宋" w:eastAsia="仿宋" w:cs="仿宋"/>
          <w:sz w:val="32"/>
          <w:szCs w:val="32"/>
        </w:rPr>
      </w:pPr>
      <w:r>
        <w:rPr>
          <w:rFonts w:hint="eastAsia" w:ascii="仿宋" w:hAnsi="仿宋" w:eastAsia="仿宋" w:cs="仿宋"/>
          <w:sz w:val="32"/>
          <w:szCs w:val="32"/>
        </w:rPr>
        <w:t>社会治安工作组:由市公安局牵头，组织指导事发地公安机关加强社会治安管理，严厉打击编造传播事件谣言、制造社会恐慌、趁机扰乱社会秩序等违法犯罪行为，做好矛盾纠纷化解和法律服务工作。</w:t>
      </w:r>
    </w:p>
    <w:p w14:paraId="789DCFE4">
      <w:pPr>
        <w:ind w:firstLine="640" w:firstLineChars="200"/>
        <w:rPr>
          <w:rFonts w:ascii="仿宋" w:hAnsi="仿宋" w:eastAsia="仿宋" w:cs="仿宋"/>
          <w:sz w:val="32"/>
          <w:szCs w:val="32"/>
        </w:rPr>
      </w:pPr>
      <w:r>
        <w:rPr>
          <w:rFonts w:hint="eastAsia" w:ascii="仿宋" w:hAnsi="仿宋" w:eastAsia="仿宋" w:cs="仿宋"/>
          <w:sz w:val="32"/>
          <w:szCs w:val="32"/>
        </w:rPr>
        <w:t>新闻宣传工作组:由市委宣传部牵头，会同市委网信办、市市场监管局等相关部门，组建突发事件应急新闻中心，开展事件处置宣传报道和舆论引导，并指导相关部门与单位做好信息发布工作。</w:t>
      </w:r>
    </w:p>
    <w:p w14:paraId="1A8A65A0">
      <w:pPr>
        <w:ind w:firstLine="640" w:firstLineChars="200"/>
        <w:rPr>
          <w:rFonts w:ascii="仿宋" w:hAnsi="仿宋" w:eastAsia="仿宋" w:cs="仿宋"/>
          <w:sz w:val="32"/>
          <w:szCs w:val="32"/>
        </w:rPr>
      </w:pPr>
      <w:r>
        <w:rPr>
          <w:rFonts w:hint="eastAsia" w:ascii="仿宋" w:hAnsi="仿宋" w:eastAsia="仿宋" w:cs="仿宋"/>
          <w:sz w:val="32"/>
          <w:szCs w:val="32"/>
        </w:rPr>
        <w:t>专家组:由市市场监管局牵头，市卫生健康委配合</w:t>
      </w:r>
      <w:r>
        <w:rPr>
          <w:rFonts w:hint="eastAsia" w:ascii="仿宋" w:hAnsi="仿宋" w:eastAsia="仿宋" w:cs="仿宋"/>
          <w:sz w:val="32"/>
          <w:szCs w:val="32"/>
          <w:lang w:eastAsia="zh-CN"/>
        </w:rPr>
        <w:t>，</w:t>
      </w:r>
      <w:r>
        <w:rPr>
          <w:rFonts w:hint="eastAsia" w:ascii="仿宋" w:hAnsi="仿宋" w:eastAsia="仿宋" w:cs="仿宋"/>
          <w:color w:val="auto"/>
          <w:sz w:val="32"/>
          <w:szCs w:val="32"/>
        </w:rPr>
        <w:t>在药品安全专家库中选择相关专家</w:t>
      </w:r>
      <w:r>
        <w:rPr>
          <w:rFonts w:hint="eastAsia" w:ascii="仿宋" w:hAnsi="仿宋" w:eastAsia="仿宋" w:cs="仿宋"/>
          <w:sz w:val="32"/>
          <w:szCs w:val="32"/>
        </w:rPr>
        <w:t>，为药品安全突发事件应急处置工作提供建议咨询、指导评价、评估研判，并参与现场处置工作。</w:t>
      </w:r>
    </w:p>
    <w:p w14:paraId="4E97CA0F">
      <w:pPr>
        <w:ind w:firstLine="640" w:firstLineChars="200"/>
        <w:rPr>
          <w:rFonts w:ascii="仿宋" w:hAnsi="仿宋" w:eastAsia="仿宋" w:cs="仿宋"/>
          <w:sz w:val="32"/>
          <w:szCs w:val="32"/>
        </w:rPr>
      </w:pPr>
      <w:r>
        <w:rPr>
          <w:rFonts w:hint="eastAsia" w:ascii="仿宋" w:hAnsi="仿宋" w:eastAsia="仿宋" w:cs="仿宋"/>
          <w:sz w:val="32"/>
          <w:szCs w:val="32"/>
        </w:rPr>
        <w:t>其他工作组: 根据药品安全突发事件处置的具体需要</w:t>
      </w:r>
      <w:r>
        <w:rPr>
          <w:rFonts w:hint="eastAsia" w:ascii="仿宋" w:hAnsi="仿宋" w:eastAsia="仿宋" w:cs="仿宋"/>
          <w:sz w:val="32"/>
          <w:szCs w:val="32"/>
          <w:lang w:eastAsia="zh-CN"/>
        </w:rPr>
        <w:t>，</w:t>
      </w:r>
      <w:r>
        <w:rPr>
          <w:rFonts w:hint="eastAsia" w:ascii="仿宋" w:hAnsi="仿宋" w:eastAsia="仿宋" w:cs="仿宋"/>
          <w:sz w:val="32"/>
          <w:szCs w:val="32"/>
        </w:rPr>
        <w:t>由相应职能部门组成，可适时调整组成部门。</w:t>
      </w:r>
    </w:p>
    <w:p w14:paraId="654CAAE8">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.4 技术支撑机构及职责</w:t>
      </w:r>
    </w:p>
    <w:p w14:paraId="74B3F8A5">
      <w:pPr>
        <w:ind w:firstLine="640" w:firstLineChars="200"/>
        <w:rPr>
          <w:rFonts w:ascii="仿宋" w:hAnsi="仿宋" w:eastAsia="仿宋" w:cs="仿宋"/>
          <w:sz w:val="32"/>
          <w:szCs w:val="32"/>
        </w:rPr>
      </w:pPr>
      <w:r>
        <w:rPr>
          <w:rFonts w:hint="eastAsia" w:ascii="仿宋" w:hAnsi="仿宋" w:eastAsia="仿宋" w:cs="仿宋"/>
          <w:color w:val="auto"/>
          <w:sz w:val="32"/>
          <w:szCs w:val="32"/>
        </w:rPr>
        <w:t>市药品监测与评价机构:</w:t>
      </w:r>
      <w:r>
        <w:rPr>
          <w:rFonts w:hint="eastAsia" w:ascii="仿宋" w:hAnsi="仿宋" w:eastAsia="仿宋" w:cs="仿宋"/>
          <w:sz w:val="32"/>
          <w:szCs w:val="32"/>
        </w:rPr>
        <w:t xml:space="preserve"> 负责药品不良反应报告和监测资料的收集、评价、反馈和上报工作，协助开展药品不良反应聚集性事件的调查。</w:t>
      </w:r>
    </w:p>
    <w:p w14:paraId="768F9832">
      <w:pPr>
        <w:ind w:firstLine="640" w:firstLineChars="200"/>
        <w:rPr>
          <w:rFonts w:hint="eastAsia" w:ascii="仿宋" w:hAnsi="仿宋" w:eastAsia="仿宋" w:cs="仿宋"/>
          <w:sz w:val="32"/>
          <w:szCs w:val="32"/>
        </w:rPr>
      </w:pPr>
      <w:r>
        <w:rPr>
          <w:rFonts w:hint="eastAsia" w:ascii="仿宋" w:hAnsi="仿宋" w:eastAsia="仿宋" w:cs="仿宋"/>
          <w:sz w:val="32"/>
          <w:szCs w:val="32"/>
        </w:rPr>
        <w:t>市药品检验检测机构:负责对药品安全突发事件涉及的药品等相关产品进行检验、出具检验报告，协助</w:t>
      </w:r>
      <w:r>
        <w:rPr>
          <w:rFonts w:hint="eastAsia" w:ascii="仿宋" w:hAnsi="仿宋" w:eastAsia="仿宋" w:cs="仿宋"/>
          <w:b w:val="0"/>
          <w:bCs w:val="0"/>
          <w:color w:val="auto"/>
          <w:sz w:val="32"/>
          <w:szCs w:val="32"/>
          <w:lang w:eastAsia="zh-CN"/>
        </w:rPr>
        <w:t>市场</w:t>
      </w:r>
      <w:r>
        <w:rPr>
          <w:rFonts w:hint="eastAsia" w:ascii="仿宋" w:hAnsi="仿宋" w:eastAsia="仿宋" w:cs="仿宋"/>
          <w:b w:val="0"/>
          <w:bCs w:val="0"/>
          <w:sz w:val="32"/>
          <w:szCs w:val="32"/>
        </w:rPr>
        <w:t>监</w:t>
      </w:r>
      <w:r>
        <w:rPr>
          <w:rFonts w:hint="eastAsia" w:ascii="仿宋" w:hAnsi="仿宋" w:eastAsia="仿宋" w:cs="仿宋"/>
          <w:sz w:val="32"/>
          <w:szCs w:val="32"/>
        </w:rPr>
        <w:t>督管理部门做好抽样等工作。</w:t>
      </w:r>
    </w:p>
    <w:p w14:paraId="376401A5">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.5 医疗机构及相关企业职责</w:t>
      </w:r>
    </w:p>
    <w:p w14:paraId="0E3125C3">
      <w:pPr>
        <w:ind w:firstLine="640" w:firstLineChars="200"/>
        <w:rPr>
          <w:rFonts w:ascii="仿宋" w:hAnsi="仿宋" w:eastAsia="仿宋" w:cs="仿宋"/>
          <w:sz w:val="32"/>
          <w:szCs w:val="32"/>
        </w:rPr>
      </w:pPr>
      <w:r>
        <w:rPr>
          <w:rFonts w:hint="eastAsia" w:ascii="仿宋" w:hAnsi="仿宋" w:eastAsia="仿宋" w:cs="仿宋"/>
          <w:sz w:val="32"/>
          <w:szCs w:val="32"/>
        </w:rPr>
        <w:t>各级医疗机构:负责药品安全突发事件中健康损害人员的现场抢救、运送、诊断、治疗等相关工作;按规定做好药品不良反应监测，及时上报相关不良反应报告。</w:t>
      </w:r>
    </w:p>
    <w:p w14:paraId="63D92CAD">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 xml:space="preserve"> 药品零售企业:</w:t>
      </w:r>
      <w:r>
        <w:rPr>
          <w:rFonts w:hint="eastAsia" w:ascii="仿宋" w:hAnsi="仿宋" w:eastAsia="仿宋" w:cs="仿宋"/>
          <w:color w:val="auto"/>
          <w:sz w:val="32"/>
          <w:szCs w:val="32"/>
        </w:rPr>
        <w:t>依法经营，制定本单位的安全事件处置</w:t>
      </w:r>
      <w:r>
        <w:rPr>
          <w:rFonts w:hint="eastAsia" w:ascii="仿宋" w:hAnsi="仿宋" w:eastAsia="仿宋" w:cs="仿宋"/>
          <w:color w:val="auto"/>
          <w:sz w:val="32"/>
          <w:szCs w:val="32"/>
          <w:lang w:eastAsia="zh-CN"/>
        </w:rPr>
        <w:t>预案</w:t>
      </w:r>
      <w:r>
        <w:rPr>
          <w:rFonts w:hint="eastAsia" w:ascii="仿宋" w:hAnsi="仿宋" w:eastAsia="仿宋" w:cs="仿宋"/>
          <w:color w:val="auto"/>
          <w:sz w:val="32"/>
          <w:szCs w:val="32"/>
        </w:rPr>
        <w:t>，组织开展应急知识培训，发生安全事件时，立即向</w:t>
      </w:r>
      <w:r>
        <w:rPr>
          <w:rFonts w:hint="eastAsia" w:ascii="仿宋" w:hAnsi="仿宋" w:eastAsia="仿宋" w:cs="仿宋"/>
          <w:color w:val="auto"/>
          <w:sz w:val="32"/>
          <w:szCs w:val="32"/>
          <w:lang w:eastAsia="zh-CN"/>
        </w:rPr>
        <w:t>市场</w:t>
      </w:r>
      <w:r>
        <w:rPr>
          <w:rFonts w:hint="eastAsia" w:ascii="仿宋" w:hAnsi="仿宋" w:eastAsia="仿宋" w:cs="仿宋"/>
          <w:color w:val="auto"/>
          <w:sz w:val="32"/>
          <w:szCs w:val="32"/>
        </w:rPr>
        <w:t>监督管理部门报告。主动配合上市许可持有人、药品批发企业暂停销售并履行召回义务，按照召回计划及时传达、反馈药品召回信息，并配合</w:t>
      </w:r>
      <w:r>
        <w:rPr>
          <w:rFonts w:hint="eastAsia" w:ascii="仿宋" w:hAnsi="仿宋" w:eastAsia="仿宋" w:cs="仿宋"/>
          <w:color w:val="auto"/>
          <w:sz w:val="32"/>
          <w:szCs w:val="32"/>
          <w:lang w:eastAsia="zh-CN"/>
        </w:rPr>
        <w:t>市场</w:t>
      </w:r>
      <w:r>
        <w:rPr>
          <w:rFonts w:hint="eastAsia" w:ascii="仿宋" w:hAnsi="仿宋" w:eastAsia="仿宋" w:cs="仿宋"/>
          <w:color w:val="auto"/>
          <w:sz w:val="32"/>
          <w:szCs w:val="32"/>
        </w:rPr>
        <w:t>监督管理部门进行调查处理。</w:t>
      </w:r>
    </w:p>
    <w:p w14:paraId="41D490C8">
      <w:pPr>
        <w:ind w:firstLine="640" w:firstLineChars="200"/>
        <w:rPr>
          <w:rFonts w:hint="eastAsia" w:ascii="黑体" w:hAnsi="黑体" w:eastAsia="黑体" w:cs="黑体"/>
          <w:sz w:val="32"/>
          <w:szCs w:val="32"/>
        </w:rPr>
      </w:pPr>
      <w:r>
        <w:rPr>
          <w:rFonts w:hint="eastAsia" w:ascii="微软雅黑" w:hAnsi="微软雅黑" w:eastAsia="微软雅黑" w:cs="微软雅黑"/>
          <w:sz w:val="32"/>
          <w:szCs w:val="32"/>
          <w:lang w:val="en-US" w:eastAsia="zh-CN"/>
        </w:rPr>
        <w:t>4</w:t>
      </w:r>
      <w:r>
        <w:rPr>
          <w:rFonts w:hint="eastAsia" w:ascii="微软雅黑" w:hAnsi="微软雅黑" w:eastAsia="微软雅黑" w:cs="微软雅黑"/>
          <w:sz w:val="32"/>
          <w:szCs w:val="32"/>
        </w:rPr>
        <w:t>监测预警与报告评估</w:t>
      </w:r>
    </w:p>
    <w:p w14:paraId="10A3CFE8">
      <w:pPr>
        <w:ind w:firstLine="640" w:firstLineChars="200"/>
        <w:rPr>
          <w:rFonts w:ascii="楷体" w:hAnsi="楷体" w:eastAsia="楷体" w:cs="楷体"/>
          <w:sz w:val="30"/>
          <w:szCs w:val="30"/>
        </w:rPr>
      </w:pPr>
      <w:r>
        <w:rPr>
          <w:rFonts w:hint="eastAsia" w:ascii="楷体" w:hAnsi="楷体" w:eastAsia="楷体" w:cs="楷体"/>
          <w:sz w:val="32"/>
          <w:szCs w:val="32"/>
          <w:lang w:val="en-US" w:eastAsia="zh-CN"/>
        </w:rPr>
        <w:t>4</w:t>
      </w:r>
      <w:r>
        <w:rPr>
          <w:rFonts w:hint="eastAsia" w:ascii="楷体" w:hAnsi="楷体" w:eastAsia="楷体" w:cs="楷体"/>
          <w:sz w:val="32"/>
          <w:szCs w:val="32"/>
        </w:rPr>
        <w:t>.1 监测</w:t>
      </w:r>
    </w:p>
    <w:p w14:paraId="65B16D47">
      <w:pPr>
        <w:ind w:firstLine="640" w:firstLineChars="200"/>
        <w:rPr>
          <w:rFonts w:ascii="仿宋" w:hAnsi="仿宋" w:eastAsia="仿宋" w:cs="仿宋"/>
          <w:color w:val="auto"/>
          <w:sz w:val="30"/>
          <w:szCs w:val="30"/>
        </w:rPr>
      </w:pPr>
      <w:r>
        <w:rPr>
          <w:rFonts w:hint="eastAsia" w:ascii="仿宋" w:hAnsi="仿宋" w:eastAsia="仿宋" w:cs="仿宋"/>
          <w:color w:val="auto"/>
          <w:sz w:val="32"/>
          <w:szCs w:val="32"/>
        </w:rPr>
        <w:t>市场监督管理部门要按照职责分工，组织开展药品安全风险监测工作。市药品监测与评价机构要认真做好日常监测工作，加强监测队伍建设，提高药品安全风险事件的发现和处置能力，切实做到早发现、早报告。</w:t>
      </w:r>
    </w:p>
    <w:p w14:paraId="5B0CA9CC">
      <w:pPr>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rPr>
        <w:t>.2预警</w:t>
      </w:r>
    </w:p>
    <w:p w14:paraId="40CB5C53">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 市场监督管理部门应按照职责分工，根据药品不良反应监测等渠道获取的信息和数据，对辖区内药品安全突发事件的相关危险因素组织开展评估，对可能危害公众健康的风险因素、风险级别、影响范围、紧急程度和可能存在的危害提出预警意见，采取预警提示有关部门、向社会发布警示信息、对口进行应急处置指导、响应准备等预警措施，及时向本级政府及上级</w:t>
      </w:r>
      <w:r>
        <w:rPr>
          <w:rFonts w:hint="eastAsia" w:ascii="仿宋" w:hAnsi="仿宋" w:eastAsia="仿宋" w:cs="仿宋"/>
          <w:color w:val="auto"/>
          <w:sz w:val="32"/>
          <w:szCs w:val="32"/>
          <w:lang w:eastAsia="zh-CN"/>
        </w:rPr>
        <w:t>市场</w:t>
      </w:r>
      <w:r>
        <w:rPr>
          <w:rFonts w:hint="eastAsia" w:ascii="仿宋" w:hAnsi="仿宋" w:eastAsia="仿宋" w:cs="仿宋"/>
          <w:color w:val="auto"/>
          <w:sz w:val="32"/>
          <w:szCs w:val="32"/>
        </w:rPr>
        <w:t>监督管理部门报告。评估内容包括:</w:t>
      </w:r>
    </w:p>
    <w:p w14:paraId="36C883C0">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 可能导致的健康损害及所涉及的范围，是否已造成健康损害，后果及严重程度;</w:t>
      </w:r>
    </w:p>
    <w:p w14:paraId="64C7AD9D">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 事件的影响范围及严重程度;</w:t>
      </w:r>
    </w:p>
    <w:p w14:paraId="07C80997">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 事件蔓延趋势;</w:t>
      </w:r>
    </w:p>
    <w:p w14:paraId="5D6543BE">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 拟采取的控制措施。</w:t>
      </w:r>
    </w:p>
    <w:p w14:paraId="1911CF6F">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经评估确定发生药品安全突发事件，要向本级专项指挥部提出核定药品安全突发事件级别、应采取的控制措施，经专项指挥部批准后实施。</w:t>
      </w:r>
    </w:p>
    <w:p w14:paraId="363094E1">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.3报告</w:t>
      </w:r>
    </w:p>
    <w:p w14:paraId="4231E62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任何单位和个人有权向各级政府及</w:t>
      </w:r>
      <w:r>
        <w:rPr>
          <w:rFonts w:hint="eastAsia" w:ascii="仿宋" w:hAnsi="仿宋" w:eastAsia="仿宋" w:cs="仿宋"/>
          <w:color w:val="auto"/>
          <w:sz w:val="32"/>
          <w:szCs w:val="32"/>
          <w:lang w:eastAsia="zh-CN"/>
        </w:rPr>
        <w:t>市场</w:t>
      </w:r>
      <w:r>
        <w:rPr>
          <w:rFonts w:hint="eastAsia" w:ascii="仿宋" w:hAnsi="仿宋" w:eastAsia="仿宋" w:cs="仿宋"/>
          <w:color w:val="auto"/>
          <w:sz w:val="32"/>
          <w:szCs w:val="32"/>
        </w:rPr>
        <w:t>监督管理部门报告药品安全突发事件及其隐患，有权向上级政府或有关部门举报不履行或者不按照规定履行药品安全突发事件应急处置职责的部门、单位和个人。</w:t>
      </w:r>
    </w:p>
    <w:p w14:paraId="6CB4118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任何单位和个人对药品安全突发事件不得瞒报、缓报、谎报或授意指使他人瞒报、缓报、谎报。</w:t>
      </w:r>
    </w:p>
    <w:p w14:paraId="6882F5F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.3.1 报告责任主体</w:t>
      </w:r>
    </w:p>
    <w:p w14:paraId="10C085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eastAsia="zh-CN"/>
        </w:rPr>
        <w:t>药品</w:t>
      </w:r>
      <w:r>
        <w:rPr>
          <w:rFonts w:hint="eastAsia" w:ascii="仿宋" w:hAnsi="仿宋" w:eastAsia="仿宋" w:cs="仿宋"/>
          <w:sz w:val="32"/>
          <w:szCs w:val="32"/>
        </w:rPr>
        <w:t>零售企业、使用单位;</w:t>
      </w:r>
    </w:p>
    <w:p w14:paraId="2A5E727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 w:hAnsi="仿宋" w:eastAsia="仿宋" w:cs="仿宋"/>
          <w:color w:val="auto"/>
          <w:sz w:val="32"/>
          <w:szCs w:val="32"/>
        </w:rPr>
        <w:t>药品不良反应监测机构</w:t>
      </w:r>
      <w:r>
        <w:rPr>
          <w:rFonts w:hint="eastAsia" w:ascii="仿宋" w:hAnsi="仿宋" w:eastAsia="仿宋" w:cs="仿宋"/>
          <w:sz w:val="32"/>
          <w:szCs w:val="32"/>
        </w:rPr>
        <w:t>;</w:t>
      </w:r>
    </w:p>
    <w:p w14:paraId="2B0EB2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auto"/>
          <w:sz w:val="32"/>
          <w:szCs w:val="32"/>
        </w:rPr>
        <w:t>(3) 药品检验检测机构;</w:t>
      </w:r>
    </w:p>
    <w:p w14:paraId="0D9F5A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市场监督管理部门;</w:t>
      </w:r>
    </w:p>
    <w:p w14:paraId="510416E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其他负有报告义务的组织和个人。</w:t>
      </w:r>
    </w:p>
    <w:p w14:paraId="4524D7E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.3.2 报告程序与时限</w:t>
      </w:r>
    </w:p>
    <w:p w14:paraId="019A698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一般按照由下至上逐级报告的原则，各报告责任主体应及时报告药品安全突发事件信息，紧急情况可越级报告。</w:t>
      </w:r>
      <w:r>
        <w:rPr>
          <w:rFonts w:hint="eastAsia" w:ascii="仿宋" w:hAnsi="仿宋" w:eastAsia="仿宋" w:cs="仿宋"/>
          <w:color w:val="auto"/>
          <w:sz w:val="32"/>
          <w:szCs w:val="32"/>
        </w:rPr>
        <w:t>鼓励其他单位和个人向各级政府及</w:t>
      </w:r>
      <w:r>
        <w:rPr>
          <w:rFonts w:hint="eastAsia" w:ascii="仿宋" w:hAnsi="仿宋" w:eastAsia="仿宋" w:cs="仿宋"/>
          <w:color w:val="auto"/>
          <w:sz w:val="32"/>
          <w:szCs w:val="32"/>
          <w:lang w:eastAsia="zh-CN"/>
        </w:rPr>
        <w:t>市场</w:t>
      </w:r>
      <w:r>
        <w:rPr>
          <w:rFonts w:hint="eastAsia" w:ascii="仿宋" w:hAnsi="仿宋" w:eastAsia="仿宋" w:cs="仿宋"/>
          <w:color w:val="auto"/>
          <w:sz w:val="32"/>
          <w:szCs w:val="32"/>
        </w:rPr>
        <w:t>监督管理部门报告药品安全突发事件信息。</w:t>
      </w:r>
    </w:p>
    <w:p w14:paraId="1841E5E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各责任主体发现或获知药品安全突发事件，应如实向事发地政府及</w:t>
      </w:r>
      <w:r>
        <w:rPr>
          <w:rFonts w:hint="eastAsia" w:ascii="仿宋" w:hAnsi="仿宋" w:eastAsia="仿宋" w:cs="仿宋"/>
          <w:color w:val="auto"/>
          <w:sz w:val="32"/>
          <w:szCs w:val="32"/>
          <w:lang w:eastAsia="zh-CN"/>
        </w:rPr>
        <w:t>市场</w:t>
      </w:r>
      <w:r>
        <w:rPr>
          <w:rFonts w:hint="eastAsia" w:ascii="仿宋" w:hAnsi="仿宋" w:eastAsia="仿宋" w:cs="仿宋"/>
          <w:sz w:val="32"/>
          <w:szCs w:val="32"/>
        </w:rPr>
        <w:t>监督管理部门报告。</w:t>
      </w:r>
    </w:p>
    <w:p w14:paraId="5A51B8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事发地政府及市场监督管理部门接到药品安全突发事件报告后，应立即组织有关人员赶赴现场调查核实情况</w:t>
      </w:r>
      <w:r>
        <w:rPr>
          <w:rFonts w:hint="eastAsia" w:ascii="仿宋" w:hAnsi="仿宋" w:eastAsia="仿宋" w:cs="仿宋"/>
          <w:color w:val="auto"/>
          <w:sz w:val="32"/>
          <w:szCs w:val="32"/>
        </w:rPr>
        <w:t>，</w:t>
      </w:r>
      <w:r>
        <w:rPr>
          <w:rFonts w:hint="eastAsia" w:ascii="仿宋" w:hAnsi="仿宋" w:eastAsia="仿宋" w:cs="仿宋"/>
          <w:sz w:val="32"/>
          <w:szCs w:val="32"/>
        </w:rPr>
        <w:t>研判事件发展趋势，按照分级标准要求逐级报告上级政府及市场监督管理部门，并通知其他有关部门。</w:t>
      </w:r>
    </w:p>
    <w:p w14:paraId="247E06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初步研判为</w:t>
      </w:r>
      <w:r>
        <w:rPr>
          <w:rFonts w:hint="eastAsia" w:ascii="仿宋" w:hAnsi="仿宋" w:eastAsia="仿宋" w:cs="仿宋"/>
          <w:sz w:val="30"/>
          <w:szCs w:val="30"/>
        </w:rPr>
        <w:t>特别重大或重大</w:t>
      </w:r>
      <w:r>
        <w:rPr>
          <w:rFonts w:hint="eastAsia" w:ascii="仿宋" w:hAnsi="仿宋" w:eastAsia="仿宋" w:cs="仿宋"/>
          <w:sz w:val="32"/>
          <w:szCs w:val="32"/>
        </w:rPr>
        <w:t>药品安全突发事件，应在30 分钟内电话报告，1 小时内书面报告，其他药品安全突发事件 1小时内报告。</w:t>
      </w:r>
    </w:p>
    <w:p w14:paraId="70FD83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rPr>
        <w:t>（3）接到报告的地方政府和</w:t>
      </w:r>
      <w:r>
        <w:rPr>
          <w:rFonts w:hint="eastAsia" w:ascii="仿宋" w:hAnsi="仿宋" w:eastAsia="仿宋" w:cs="仿宋"/>
          <w:color w:val="auto"/>
          <w:sz w:val="32"/>
          <w:szCs w:val="32"/>
          <w:lang w:eastAsia="zh-CN"/>
        </w:rPr>
        <w:t>市场</w:t>
      </w:r>
      <w:r>
        <w:rPr>
          <w:rFonts w:hint="eastAsia" w:ascii="仿宋" w:hAnsi="仿宋" w:eastAsia="仿宋" w:cs="仿宋"/>
          <w:color w:val="auto"/>
          <w:sz w:val="32"/>
          <w:szCs w:val="32"/>
        </w:rPr>
        <w:t>监督管理部门应根据药品安全突发事件研判结果，按照分级标准要求逐级报告上级政府和</w:t>
      </w:r>
      <w:r>
        <w:rPr>
          <w:rFonts w:hint="eastAsia" w:ascii="仿宋" w:hAnsi="仿宋" w:eastAsia="仿宋" w:cs="仿宋"/>
          <w:color w:val="auto"/>
          <w:sz w:val="32"/>
          <w:szCs w:val="32"/>
          <w:lang w:eastAsia="zh-CN"/>
        </w:rPr>
        <w:t>药品</w:t>
      </w:r>
      <w:r>
        <w:rPr>
          <w:rFonts w:hint="eastAsia" w:ascii="仿宋" w:hAnsi="仿宋" w:eastAsia="仿宋" w:cs="仿宋"/>
          <w:color w:val="auto"/>
          <w:sz w:val="32"/>
          <w:szCs w:val="32"/>
        </w:rPr>
        <w:t>监督管理部门</w:t>
      </w:r>
      <w:r>
        <w:rPr>
          <w:rFonts w:hint="eastAsia" w:ascii="仿宋" w:hAnsi="仿宋" w:eastAsia="仿宋" w:cs="仿宋"/>
          <w:color w:val="auto"/>
          <w:sz w:val="32"/>
          <w:szCs w:val="32"/>
          <w:lang w:eastAsia="zh-CN"/>
        </w:rPr>
        <w:t>，</w:t>
      </w:r>
      <w:r>
        <w:rPr>
          <w:rFonts w:hint="eastAsia" w:ascii="仿宋" w:hAnsi="仿宋" w:eastAsia="仿宋" w:cs="仿宋"/>
          <w:sz w:val="32"/>
          <w:szCs w:val="32"/>
        </w:rPr>
        <w:t>特殊情况下，对可能造成重大社会影响的药品安全突发事件，</w:t>
      </w:r>
      <w:r>
        <w:rPr>
          <w:rFonts w:hint="eastAsia" w:ascii="仿宋" w:hAnsi="仿宋" w:eastAsia="仿宋" w:cs="仿宋"/>
          <w:color w:val="auto"/>
          <w:sz w:val="32"/>
          <w:szCs w:val="32"/>
        </w:rPr>
        <w:t>药品不良反应监测机构及药品</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医疗器械</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经营企业</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医疗机构</w:t>
      </w:r>
      <w:r>
        <w:rPr>
          <w:rFonts w:hint="eastAsia" w:ascii="仿宋" w:hAnsi="仿宋" w:eastAsia="仿宋" w:cs="仿宋"/>
          <w:sz w:val="32"/>
          <w:szCs w:val="32"/>
        </w:rPr>
        <w:t>相关责任主体可越级向上级政府及</w:t>
      </w:r>
      <w:r>
        <w:rPr>
          <w:rFonts w:hint="eastAsia" w:ascii="仿宋" w:hAnsi="仿宋" w:eastAsia="仿宋" w:cs="仿宋"/>
          <w:color w:val="auto"/>
          <w:sz w:val="32"/>
          <w:szCs w:val="32"/>
          <w:lang w:eastAsia="zh-CN"/>
        </w:rPr>
        <w:t>市场</w:t>
      </w:r>
      <w:r>
        <w:rPr>
          <w:rFonts w:hint="eastAsia" w:ascii="仿宋" w:hAnsi="仿宋" w:eastAsia="仿宋" w:cs="仿宋"/>
          <w:sz w:val="32"/>
          <w:szCs w:val="32"/>
        </w:rPr>
        <w:t>监督管理部门报告。</w:t>
      </w:r>
    </w:p>
    <w:p w14:paraId="79BF588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涉及特殊药品滥用的事件，各级</w:t>
      </w:r>
      <w:r>
        <w:rPr>
          <w:rFonts w:hint="eastAsia" w:ascii="仿宋" w:hAnsi="仿宋" w:eastAsia="仿宋" w:cs="仿宋"/>
          <w:color w:val="auto"/>
          <w:sz w:val="32"/>
          <w:szCs w:val="32"/>
          <w:lang w:eastAsia="zh-CN"/>
        </w:rPr>
        <w:t>市场</w:t>
      </w:r>
      <w:r>
        <w:rPr>
          <w:rFonts w:hint="eastAsia" w:ascii="仿宋" w:hAnsi="仿宋" w:eastAsia="仿宋" w:cs="仿宋"/>
          <w:color w:val="auto"/>
          <w:sz w:val="32"/>
          <w:szCs w:val="32"/>
        </w:rPr>
        <w:t>监督管理部门和同级公安部门应分别向上一级主管部门报告。</w:t>
      </w:r>
    </w:p>
    <w:p w14:paraId="10EB9A2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突发事件已经或者可能涉及相邻行政区域的，市场监督管理部门应及时通报相邻行政区域市场监督管理部门。</w:t>
      </w:r>
    </w:p>
    <w:p w14:paraId="7E109FA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.3.3报告内容</w:t>
      </w:r>
    </w:p>
    <w:p w14:paraId="17FAA4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按照事件的发生、发展和控制过程，药品安全突发事件报告分为</w:t>
      </w:r>
      <w:r>
        <w:rPr>
          <w:rFonts w:hint="eastAsia" w:ascii="仿宋" w:hAnsi="仿宋" w:eastAsia="仿宋" w:cs="仿宋"/>
          <w:color w:val="auto"/>
          <w:sz w:val="32"/>
          <w:szCs w:val="32"/>
        </w:rPr>
        <w:t>初报、续报、终报和核报。</w:t>
      </w:r>
    </w:p>
    <w:p w14:paraId="642878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初报内容主要包括信息来源、事件发生时间地点、事件名称、事件性质，所涉药品、医疗器械的生产企业名称、产品规格、包装及批号等信息，当前状况、涉及的地域范围和人数、受害者基本信息、主要症状与体征、可能的原因及责任归属、危害程度、先期处置、发展趋势研判、应急响应启动和下一步工作建议、需要帮助解决的问题以及报告单位、联络员及通讯方式。</w:t>
      </w:r>
    </w:p>
    <w:p w14:paraId="609761A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rPr>
      </w:pPr>
      <w:r>
        <w:rPr>
          <w:rFonts w:hint="eastAsia" w:ascii="仿宋" w:hAnsi="仿宋" w:eastAsia="仿宋" w:cs="仿宋"/>
          <w:sz w:val="32"/>
          <w:szCs w:val="32"/>
        </w:rPr>
        <w:t>续报内容主要包括事件进展、发展趋势、后续应对措施、调查详情、原因分析等信息 (具体内容详见附件 2)。</w:t>
      </w:r>
      <w:r>
        <w:rPr>
          <w:rFonts w:hint="eastAsia" w:ascii="仿宋" w:hAnsi="仿宋" w:eastAsia="仿宋" w:cs="仿宋"/>
          <w:color w:val="4874CB" w:themeColor="accent1"/>
          <w:sz w:val="32"/>
          <w:szCs w:val="32"/>
          <w14:textFill>
            <w14:solidFill>
              <w14:schemeClr w14:val="accent1"/>
            </w14:solidFill>
          </w14:textFill>
        </w:rPr>
        <w:t xml:space="preserve"> </w:t>
      </w:r>
      <w:r>
        <w:rPr>
          <w:rFonts w:hint="eastAsia" w:ascii="仿宋" w:hAnsi="仿宋" w:eastAsia="仿宋" w:cs="仿宋"/>
          <w:sz w:val="32"/>
          <w:szCs w:val="32"/>
        </w:rPr>
        <w:t>特别重大、重大药品安全突发事件每天至少上报 1 次信息。在处置过程中取得重大进展或可确定关键性信息的，应在24 小时内上报进展情况。</w:t>
      </w:r>
    </w:p>
    <w:p w14:paraId="3D67B52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终报内容主要包括事件概况、调查处理过程、事件性质、影响因素、责任认定、追溯或处置结果、整改措施、监管措施完善建议等信息</w:t>
      </w:r>
      <w:r>
        <w:rPr>
          <w:rFonts w:hint="eastAsia" w:ascii="仿宋" w:hAnsi="仿宋" w:eastAsia="仿宋" w:cs="仿宋"/>
          <w:sz w:val="32"/>
          <w:szCs w:val="32"/>
          <w:lang w:eastAsia="zh-CN"/>
        </w:rPr>
        <w:t>，</w:t>
      </w:r>
      <w:r>
        <w:rPr>
          <w:rFonts w:hint="eastAsia" w:ascii="仿宋" w:hAnsi="仿宋" w:eastAsia="仿宋" w:cs="仿宋"/>
          <w:sz w:val="32"/>
          <w:szCs w:val="32"/>
        </w:rPr>
        <w:t>应在事件处置结束后7个工作日内报送。</w:t>
      </w:r>
    </w:p>
    <w:p w14:paraId="05FC0E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核报内容主要包括上级政府及有关部门要求核报的信息，相关单位应及时反馈。</w:t>
      </w:r>
    </w:p>
    <w:p w14:paraId="776A0C7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.3.4 报告方式</w:t>
      </w:r>
    </w:p>
    <w:p w14:paraId="0080C84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初报和续报应通过书面方式报告，紧急情况下，可先通过电话口头报告，再补报书面报告。终报、核报应通过书面方式正式报告。报告内容涉密的，须通过机要渠道报送。</w:t>
      </w:r>
    </w:p>
    <w:p w14:paraId="77765308">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5</w:t>
      </w:r>
      <w:r>
        <w:rPr>
          <w:rFonts w:hint="eastAsia" w:ascii="微软雅黑" w:hAnsi="微软雅黑" w:eastAsia="微软雅黑" w:cs="微软雅黑"/>
          <w:sz w:val="32"/>
          <w:szCs w:val="32"/>
        </w:rPr>
        <w:t>应急响应与应急处置</w:t>
      </w:r>
    </w:p>
    <w:p w14:paraId="0EA3E0BE">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.1前期处置</w:t>
      </w:r>
    </w:p>
    <w:p w14:paraId="646F7ED4">
      <w:pPr>
        <w:ind w:firstLine="640" w:firstLineChars="200"/>
        <w:rPr>
          <w:rFonts w:hint="default" w:ascii="仿宋" w:hAnsi="仿宋" w:eastAsia="仿宋" w:cs="仿宋"/>
          <w:sz w:val="32"/>
          <w:szCs w:val="32"/>
        </w:rPr>
      </w:pPr>
      <w:r>
        <w:rPr>
          <w:rFonts w:hint="eastAsia" w:ascii="仿宋" w:hAnsi="仿宋" w:eastAsia="仿宋" w:cs="仿宋"/>
          <w:sz w:val="32"/>
          <w:szCs w:val="32"/>
        </w:rPr>
        <w:t>发生药品安全突发事件，事发地卫生健康部门应立即组织医疗机构对健康损害人员进行救治；市场监督管理部门立即到事发现场进行初步调查核实，依法对相关产品进行封存，根据情况在本行政区域内采取暂停销售、使用等紧急控制措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default" w:ascii="仿宋" w:hAnsi="仿宋" w:eastAsia="仿宋" w:cs="仿宋"/>
          <w:sz w:val="32"/>
          <w:szCs w:val="32"/>
        </w:rPr>
        <w:t>组织进行应急抽检。</w:t>
      </w:r>
    </w:p>
    <w:p w14:paraId="0549BE73">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.2分级响应</w:t>
      </w:r>
    </w:p>
    <w:p w14:paraId="7B8CD3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发生药品安全突发事件，市、县（区）政府及有关部门应根据责任分工和事件性质，遵循边核实、边救治、边调查</w:t>
      </w:r>
      <w:r>
        <w:rPr>
          <w:rFonts w:hint="eastAsia" w:ascii="仿宋" w:hAnsi="仿宋" w:eastAsia="仿宋" w:cs="仿宋"/>
          <w:color w:val="auto"/>
          <w:sz w:val="32"/>
          <w:szCs w:val="32"/>
        </w:rPr>
        <w:t>、</w:t>
      </w:r>
      <w:r>
        <w:rPr>
          <w:rFonts w:hint="eastAsia" w:ascii="仿宋" w:hAnsi="仿宋" w:eastAsia="仿宋" w:cs="仿宋"/>
          <w:sz w:val="32"/>
          <w:szCs w:val="32"/>
        </w:rPr>
        <w:t>边处置的原则，立即做出应急响应，控制事态发展。根据药品安全突发事件分级标准，应急响应分为Ⅰ级、Ⅱ级、Ⅲ级、Ⅳ级4个等级。</w:t>
      </w:r>
    </w:p>
    <w:p w14:paraId="446299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Ⅰ级应急响应</w:t>
      </w:r>
    </w:p>
    <w:p w14:paraId="7B2E3F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发生特别重大药品安全突发事件，应急响应由国家药监局启动，省、市、县</w:t>
      </w:r>
      <w:r>
        <w:rPr>
          <w:rFonts w:hint="eastAsia" w:ascii="仿宋" w:hAnsi="仿宋" w:eastAsia="仿宋" w:cs="仿宋"/>
          <w:sz w:val="32"/>
          <w:szCs w:val="32"/>
          <w:lang w:eastAsia="zh-CN"/>
        </w:rPr>
        <w:t>（区）</w:t>
      </w:r>
      <w:r>
        <w:rPr>
          <w:rFonts w:hint="eastAsia" w:ascii="仿宋" w:hAnsi="仿宋" w:eastAsia="仿宋" w:cs="仿宋"/>
          <w:sz w:val="32"/>
          <w:szCs w:val="32"/>
        </w:rPr>
        <w:t>政府及相关部门按照国家药监局药品安全突发事件应急处置工作领导小组的统一部署，采取应急处置措施。</w:t>
      </w:r>
    </w:p>
    <w:p w14:paraId="71DC38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2 </w:t>
      </w:r>
      <w:r>
        <w:rPr>
          <w:rFonts w:hint="eastAsia" w:ascii="仿宋" w:hAnsi="仿宋" w:eastAsia="仿宋" w:cs="仿宋"/>
          <w:color w:val="auto"/>
          <w:sz w:val="32"/>
          <w:szCs w:val="32"/>
        </w:rPr>
        <w:t>Ⅱ级应急响应</w:t>
      </w:r>
    </w:p>
    <w:p w14:paraId="0EFCEF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发生重大药品安全突发事件，应急响应由</w:t>
      </w:r>
      <w:r>
        <w:rPr>
          <w:rFonts w:hint="eastAsia" w:ascii="仿宋" w:hAnsi="仿宋" w:eastAsia="仿宋" w:cs="仿宋"/>
          <w:sz w:val="32"/>
          <w:szCs w:val="32"/>
          <w:lang w:eastAsia="zh-CN"/>
        </w:rPr>
        <w:t>省</w:t>
      </w:r>
      <w:r>
        <w:rPr>
          <w:rFonts w:hint="eastAsia" w:ascii="仿宋" w:hAnsi="仿宋" w:eastAsia="仿宋" w:cs="仿宋"/>
          <w:sz w:val="32"/>
          <w:szCs w:val="32"/>
        </w:rPr>
        <w:t>药监局启动。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w:t>
      </w:r>
      <w:r>
        <w:rPr>
          <w:rFonts w:hint="eastAsia" w:ascii="仿宋" w:hAnsi="仿宋" w:eastAsia="仿宋" w:cs="仿宋"/>
          <w:sz w:val="32"/>
          <w:szCs w:val="32"/>
          <w:lang w:eastAsia="zh-CN"/>
        </w:rPr>
        <w:t>（区）</w:t>
      </w:r>
      <w:r>
        <w:rPr>
          <w:rFonts w:hint="eastAsia" w:ascii="仿宋" w:hAnsi="仿宋" w:eastAsia="仿宋" w:cs="仿宋"/>
          <w:sz w:val="32"/>
          <w:szCs w:val="32"/>
        </w:rPr>
        <w:t>政府及相关部门按照</w:t>
      </w:r>
      <w:r>
        <w:rPr>
          <w:rFonts w:hint="eastAsia" w:ascii="仿宋" w:hAnsi="仿宋" w:eastAsia="仿宋" w:cs="仿宋"/>
          <w:sz w:val="32"/>
          <w:szCs w:val="32"/>
          <w:lang w:eastAsia="zh-CN"/>
        </w:rPr>
        <w:t>省</w:t>
      </w:r>
      <w:r>
        <w:rPr>
          <w:rFonts w:hint="eastAsia" w:ascii="仿宋" w:hAnsi="仿宋" w:eastAsia="仿宋" w:cs="仿宋"/>
          <w:sz w:val="32"/>
          <w:szCs w:val="32"/>
        </w:rPr>
        <w:t>药监局药品安全突发事件应急处置工作领导小组的统一部署，采取应急处置措施。</w:t>
      </w:r>
    </w:p>
    <w:p w14:paraId="1B3AF0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5.2.3 市政府及各县、区人民政府的I级、Ⅱ级应急响应措施</w:t>
      </w:r>
    </w:p>
    <w:p w14:paraId="24467C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根据上级政府的要求和事件的性质，立即组织有关部门开展对药品安全突发事件的调查、核实工作，落实各项应急控制措施，做好病人救治工作，正确引导宣传舆论，认真做好善后工作，维护社会稳定。</w:t>
      </w:r>
    </w:p>
    <w:p w14:paraId="55E1AC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5</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4 </w:t>
      </w:r>
      <w:r>
        <w:rPr>
          <w:rFonts w:hint="eastAsia" w:ascii="仿宋" w:hAnsi="仿宋" w:eastAsia="仿宋" w:cs="仿宋"/>
          <w:color w:val="auto"/>
          <w:sz w:val="32"/>
          <w:szCs w:val="32"/>
        </w:rPr>
        <w:t>Ⅲ级应急响应</w:t>
      </w:r>
    </w:p>
    <w:p w14:paraId="48CE0A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发生较大药品安全突发事件，应急处置工作由市级政府专项指挥部组织实施，县</w:t>
      </w:r>
      <w:r>
        <w:rPr>
          <w:rFonts w:hint="eastAsia" w:ascii="仿宋" w:hAnsi="仿宋" w:eastAsia="仿宋" w:cs="仿宋"/>
          <w:sz w:val="32"/>
          <w:szCs w:val="32"/>
          <w:lang w:eastAsia="zh-CN"/>
        </w:rPr>
        <w:t>（区）</w:t>
      </w:r>
      <w:r>
        <w:rPr>
          <w:rFonts w:hint="eastAsia" w:ascii="仿宋" w:hAnsi="仿宋" w:eastAsia="仿宋" w:cs="仿宋"/>
          <w:sz w:val="32"/>
          <w:szCs w:val="32"/>
        </w:rPr>
        <w:t>政府及相关部门按照</w:t>
      </w:r>
      <w:r>
        <w:rPr>
          <w:rFonts w:hint="eastAsia" w:ascii="仿宋" w:hAnsi="仿宋" w:eastAsia="仿宋" w:cs="仿宋"/>
          <w:sz w:val="32"/>
          <w:szCs w:val="32"/>
          <w:lang w:eastAsia="zh-CN"/>
        </w:rPr>
        <w:t>市市场监管局</w:t>
      </w:r>
      <w:r>
        <w:rPr>
          <w:rFonts w:hint="eastAsia" w:ascii="仿宋" w:hAnsi="仿宋" w:eastAsia="仿宋" w:cs="仿宋"/>
          <w:sz w:val="32"/>
          <w:szCs w:val="32"/>
        </w:rPr>
        <w:t>药品安全突发事件应急处置工作领导小组的统一部署，采取应急处置措施。</w:t>
      </w:r>
      <w:r>
        <w:rPr>
          <w:rFonts w:hint="eastAsia" w:ascii="仿宋" w:hAnsi="仿宋" w:eastAsia="仿宋" w:cs="仿宋"/>
          <w:sz w:val="32"/>
          <w:szCs w:val="32"/>
          <w:lang w:val="en-US" w:eastAsia="zh-CN"/>
        </w:rPr>
        <w:t xml:space="preserve"> </w:t>
      </w:r>
    </w:p>
    <w:p w14:paraId="648E5B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启动应急响应</w:t>
      </w:r>
    </w:p>
    <w:p w14:paraId="265744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lang w:eastAsia="zh-CN"/>
        </w:rPr>
        <w:t>市</w:t>
      </w:r>
      <w:r>
        <w:rPr>
          <w:rFonts w:hint="eastAsia" w:ascii="仿宋" w:hAnsi="仿宋" w:eastAsia="仿宋" w:cs="仿宋"/>
          <w:sz w:val="32"/>
          <w:szCs w:val="32"/>
        </w:rPr>
        <w:t>专项指挥部办公室接到发生</w:t>
      </w:r>
      <w:r>
        <w:rPr>
          <w:rFonts w:hint="eastAsia" w:ascii="仿宋" w:hAnsi="仿宋" w:eastAsia="仿宋" w:cs="仿宋"/>
          <w:sz w:val="32"/>
          <w:szCs w:val="32"/>
          <w:lang w:eastAsia="zh-CN"/>
        </w:rPr>
        <w:t>较</w:t>
      </w:r>
      <w:r>
        <w:rPr>
          <w:rFonts w:hint="eastAsia" w:ascii="仿宋" w:hAnsi="仿宋" w:eastAsia="仿宋" w:cs="仿宋"/>
          <w:sz w:val="32"/>
          <w:szCs w:val="32"/>
        </w:rPr>
        <w:t>大药品安全突发事件报告后，应立即组织研判，经研判确定发生</w:t>
      </w:r>
      <w:r>
        <w:rPr>
          <w:rFonts w:hint="eastAsia" w:ascii="仿宋" w:hAnsi="仿宋" w:eastAsia="仿宋" w:cs="仿宋"/>
          <w:sz w:val="32"/>
          <w:szCs w:val="32"/>
          <w:lang w:eastAsia="zh-CN"/>
        </w:rPr>
        <w:t>较</w:t>
      </w:r>
      <w:r>
        <w:rPr>
          <w:rFonts w:hint="eastAsia" w:ascii="仿宋" w:hAnsi="仿宋" w:eastAsia="仿宋" w:cs="仿宋"/>
          <w:sz w:val="32"/>
          <w:szCs w:val="32"/>
        </w:rPr>
        <w:t>大药品安全突发事件，向</w:t>
      </w:r>
      <w:r>
        <w:rPr>
          <w:rFonts w:hint="eastAsia" w:ascii="仿宋" w:hAnsi="仿宋" w:eastAsia="仿宋" w:cs="仿宋"/>
          <w:sz w:val="32"/>
          <w:szCs w:val="32"/>
          <w:lang w:eastAsia="zh-CN"/>
        </w:rPr>
        <w:t>市</w:t>
      </w:r>
      <w:r>
        <w:rPr>
          <w:rFonts w:hint="eastAsia" w:ascii="仿宋" w:hAnsi="仿宋" w:eastAsia="仿宋" w:cs="仿宋"/>
          <w:sz w:val="32"/>
          <w:szCs w:val="32"/>
        </w:rPr>
        <w:t>政府和</w:t>
      </w:r>
      <w:r>
        <w:rPr>
          <w:rFonts w:hint="eastAsia" w:ascii="仿宋" w:hAnsi="仿宋" w:eastAsia="仿宋" w:cs="仿宋"/>
          <w:sz w:val="32"/>
          <w:szCs w:val="32"/>
          <w:lang w:eastAsia="zh-CN"/>
        </w:rPr>
        <w:t>省</w:t>
      </w:r>
      <w:r>
        <w:rPr>
          <w:rFonts w:hint="eastAsia" w:ascii="仿宋" w:hAnsi="仿宋" w:eastAsia="仿宋" w:cs="仿宋"/>
          <w:sz w:val="32"/>
          <w:szCs w:val="32"/>
        </w:rPr>
        <w:t>药监局报告并向</w:t>
      </w:r>
      <w:r>
        <w:rPr>
          <w:rFonts w:hint="eastAsia" w:ascii="仿宋" w:hAnsi="仿宋" w:eastAsia="仿宋" w:cs="仿宋"/>
          <w:sz w:val="32"/>
          <w:szCs w:val="32"/>
          <w:lang w:eastAsia="zh-CN"/>
        </w:rPr>
        <w:t>市</w:t>
      </w:r>
      <w:r>
        <w:rPr>
          <w:rFonts w:hint="eastAsia" w:ascii="仿宋" w:hAnsi="仿宋" w:eastAsia="仿宋" w:cs="仿宋"/>
          <w:sz w:val="32"/>
          <w:szCs w:val="32"/>
        </w:rPr>
        <w:t>专项指挥部提出启动</w:t>
      </w:r>
      <w:r>
        <w:rPr>
          <w:rFonts w:hint="eastAsia" w:ascii="仿宋" w:hAnsi="仿宋" w:eastAsia="仿宋" w:cs="仿宋"/>
          <w:color w:val="auto"/>
          <w:sz w:val="32"/>
          <w:szCs w:val="32"/>
        </w:rPr>
        <w:t>Ⅲ</w:t>
      </w:r>
      <w:r>
        <w:rPr>
          <w:rFonts w:hint="eastAsia" w:ascii="仿宋" w:hAnsi="仿宋" w:eastAsia="仿宋" w:cs="仿宋"/>
          <w:sz w:val="32"/>
          <w:szCs w:val="32"/>
        </w:rPr>
        <w:t>级应急响应建议，经</w:t>
      </w:r>
      <w:r>
        <w:rPr>
          <w:rFonts w:hint="eastAsia" w:ascii="仿宋" w:hAnsi="仿宋" w:eastAsia="仿宋" w:cs="仿宋"/>
          <w:sz w:val="32"/>
          <w:szCs w:val="32"/>
          <w:lang w:eastAsia="zh-CN"/>
        </w:rPr>
        <w:t>市</w:t>
      </w:r>
      <w:r>
        <w:rPr>
          <w:rFonts w:hint="eastAsia" w:ascii="仿宋" w:hAnsi="仿宋" w:eastAsia="仿宋" w:cs="仿宋"/>
          <w:sz w:val="32"/>
          <w:szCs w:val="32"/>
        </w:rPr>
        <w:t>专项指挥部批准后立即将应急响应决定通报各成员单位及事发地政府，根据事件处置需要组织成立相应工作组，拟定综合工作方案，协调各工作组按照职责开展工作。</w:t>
      </w:r>
    </w:p>
    <w:p w14:paraId="1BEC7B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开展紧急医学救援</w:t>
      </w:r>
    </w:p>
    <w:p w14:paraId="44AA27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医疗救治工作组尽快赶赴事发地，组织指导医疗机构有效利用医疗资源，最大限度地救治健康损害人员。</w:t>
      </w:r>
    </w:p>
    <w:p w14:paraId="2D37D7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进行现场处置</w:t>
      </w:r>
    </w:p>
    <w:p w14:paraId="1E7175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件调查控制工作组尽快赶赴事发地和相关企业所在地，组织协调事件调查控制和应急处置工作。组织相关部门采取紧急控制措施，防止或者减轻事件危害，控制事态蔓延;对相关产品进行统计、溯源、流向追踪，对可能危害人体生命健康的产品及其有关证据材料采取查封、扣押等措施，待查明原因后依法处理;根据事件处置需要，对相关产品的生产经营和使用单位进行监督检查，责令召回、停止使用，实施应急抽检。</w:t>
      </w:r>
    </w:p>
    <w:p w14:paraId="4EEA29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(4)开展事件调查</w:t>
      </w:r>
    </w:p>
    <w:p w14:paraId="226283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事件调查控制工作组组织相关监管部门和检验检测机构开展事件调查，对相关产品的流通、使用环节进行现场调查、留样抽样、检验检测，尽快查明事件性质、发生原因，提出对责任单位、责任人的处理建议。</w:t>
      </w:r>
    </w:p>
    <w:p w14:paraId="36BC8D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及时发布信息</w:t>
      </w:r>
    </w:p>
    <w:p w14:paraId="239511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新闻宣传工作组根据事件处置进展和需要，按照</w:t>
      </w:r>
      <w:r>
        <w:rPr>
          <w:rFonts w:hint="eastAsia" w:ascii="仿宋" w:hAnsi="仿宋" w:eastAsia="仿宋" w:cs="仿宋"/>
          <w:sz w:val="32"/>
          <w:szCs w:val="32"/>
          <w:lang w:eastAsia="zh-CN"/>
        </w:rPr>
        <w:t>市</w:t>
      </w:r>
      <w:r>
        <w:rPr>
          <w:rFonts w:hint="eastAsia" w:ascii="仿宋" w:hAnsi="仿宋" w:eastAsia="仿宋" w:cs="仿宋"/>
          <w:sz w:val="32"/>
          <w:szCs w:val="32"/>
        </w:rPr>
        <w:t>专项指挥部授权依法、及时向社会发布药品安全突发事件及调查处理情况等相关信息，回应社会关切，正确引导舆论，消除公众恐慌心理;开展相关科普知识宣传教育，提高公众科学合理用药意识和自我保护能力。</w:t>
      </w:r>
    </w:p>
    <w:p w14:paraId="453EF8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维护社会稳定</w:t>
      </w:r>
    </w:p>
    <w:p w14:paraId="2A3D4E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4874CB" w:themeColor="accent1"/>
          <w:sz w:val="32"/>
          <w:szCs w:val="32"/>
          <w:lang w:val="en-US" w:eastAsia="zh-CN"/>
          <w14:textFill>
            <w14:solidFill>
              <w14:schemeClr w14:val="accent1"/>
            </w14:solidFill>
          </w14:textFill>
        </w:rPr>
      </w:pPr>
      <w:r>
        <w:rPr>
          <w:rFonts w:hint="eastAsia" w:ascii="仿宋" w:hAnsi="仿宋" w:eastAsia="仿宋" w:cs="仿宋"/>
          <w:sz w:val="32"/>
          <w:szCs w:val="32"/>
        </w:rPr>
        <w:t>社会治安工作组组织指导事件发生地公安机关加强社会治安管理，严厉打击编造传播事件谣言、制造社会恐慌、趁机扰乱社会秩序等违法犯罪行为，做好矛盾纠纷化解和法律服务工作。</w:t>
      </w:r>
    </w:p>
    <w:p w14:paraId="04D7B0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技术支撑</w:t>
      </w:r>
    </w:p>
    <w:p w14:paraId="6F6700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专家组为药品安全突发事件应急处置工作提供建议咨询、指导评价、评估研判，根据事件的分布及其影响因素提出合理的预防控制对策和健康管理措施。</w:t>
      </w:r>
    </w:p>
    <w:p w14:paraId="2AFF9B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 总结评估</w:t>
      </w:r>
    </w:p>
    <w:p w14:paraId="79DD3C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事件处置结束后，</w:t>
      </w:r>
      <w:r>
        <w:rPr>
          <w:rFonts w:hint="eastAsia" w:ascii="仿宋" w:hAnsi="仿宋" w:eastAsia="仿宋" w:cs="仿宋"/>
          <w:sz w:val="32"/>
          <w:szCs w:val="32"/>
          <w:lang w:eastAsia="zh-CN"/>
        </w:rPr>
        <w:t>市</w:t>
      </w:r>
      <w:r>
        <w:rPr>
          <w:rFonts w:hint="eastAsia" w:ascii="仿宋" w:hAnsi="仿宋" w:eastAsia="仿宋" w:cs="仿宋"/>
          <w:sz w:val="32"/>
          <w:szCs w:val="32"/>
        </w:rPr>
        <w:t>专项指挥部组织各工作组、有关部门和事发地政府及时进行总结评估，在规定时限内形成总结评估报告，上报</w:t>
      </w:r>
      <w:r>
        <w:rPr>
          <w:rFonts w:hint="eastAsia" w:ascii="仿宋" w:hAnsi="仿宋" w:eastAsia="仿宋" w:cs="仿宋"/>
          <w:sz w:val="32"/>
          <w:szCs w:val="32"/>
          <w:lang w:eastAsia="zh-CN"/>
        </w:rPr>
        <w:t>市</w:t>
      </w:r>
      <w:r>
        <w:rPr>
          <w:rFonts w:hint="eastAsia" w:ascii="仿宋" w:hAnsi="仿宋" w:eastAsia="仿宋" w:cs="仿宋"/>
          <w:sz w:val="32"/>
          <w:szCs w:val="32"/>
        </w:rPr>
        <w:t>政府和</w:t>
      </w:r>
      <w:r>
        <w:rPr>
          <w:rFonts w:hint="eastAsia" w:ascii="仿宋" w:hAnsi="仿宋" w:eastAsia="仿宋" w:cs="仿宋"/>
          <w:sz w:val="32"/>
          <w:szCs w:val="32"/>
          <w:lang w:eastAsia="zh-CN"/>
        </w:rPr>
        <w:t>省</w:t>
      </w:r>
      <w:r>
        <w:rPr>
          <w:rFonts w:hint="eastAsia" w:ascii="仿宋" w:hAnsi="仿宋" w:eastAsia="仿宋" w:cs="仿宋"/>
          <w:sz w:val="32"/>
          <w:szCs w:val="32"/>
        </w:rPr>
        <w:t>药监局。</w:t>
      </w:r>
    </w:p>
    <w:p w14:paraId="01553E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.2.</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Ⅳ级应急响应</w:t>
      </w:r>
    </w:p>
    <w:p w14:paraId="6F84E5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发生一般药品安全突发事件，应急处置工作由事发地县</w:t>
      </w:r>
      <w:r>
        <w:rPr>
          <w:rFonts w:hint="eastAsia" w:ascii="仿宋" w:hAnsi="仿宋" w:eastAsia="仿宋" w:cs="仿宋"/>
          <w:color w:val="auto"/>
          <w:sz w:val="32"/>
          <w:szCs w:val="32"/>
        </w:rPr>
        <w:t>（区）</w:t>
      </w:r>
      <w:r>
        <w:rPr>
          <w:rFonts w:hint="eastAsia" w:ascii="仿宋" w:hAnsi="仿宋" w:eastAsia="仿宋" w:cs="仿宋"/>
          <w:sz w:val="32"/>
          <w:szCs w:val="32"/>
        </w:rPr>
        <w:t>级政府专项指挥部组织实施，按照本级政府预案开展应急处置工作。根据实际需要，在事发地县</w:t>
      </w:r>
      <w:r>
        <w:rPr>
          <w:rFonts w:hint="eastAsia" w:ascii="仿宋" w:hAnsi="仿宋" w:eastAsia="仿宋" w:cs="仿宋"/>
          <w:color w:val="auto"/>
          <w:sz w:val="32"/>
          <w:szCs w:val="32"/>
        </w:rPr>
        <w:t>（区）级</w:t>
      </w:r>
      <w:r>
        <w:rPr>
          <w:rFonts w:hint="eastAsia" w:ascii="仿宋" w:hAnsi="仿宋" w:eastAsia="仿宋" w:cs="仿宋"/>
          <w:sz w:val="32"/>
          <w:szCs w:val="32"/>
        </w:rPr>
        <w:t>政府专项指挥部请求下，市级</w:t>
      </w:r>
      <w:r>
        <w:rPr>
          <w:rFonts w:hint="eastAsia" w:ascii="仿宋" w:hAnsi="仿宋" w:eastAsia="仿宋" w:cs="仿宋"/>
          <w:color w:val="auto"/>
          <w:sz w:val="32"/>
          <w:szCs w:val="32"/>
          <w:lang w:eastAsia="zh-CN"/>
        </w:rPr>
        <w:t>市场</w:t>
      </w:r>
      <w:r>
        <w:rPr>
          <w:rFonts w:hint="eastAsia" w:ascii="仿宋" w:hAnsi="仿宋" w:eastAsia="仿宋" w:cs="仿宋"/>
          <w:sz w:val="32"/>
          <w:szCs w:val="32"/>
        </w:rPr>
        <w:t>监督管理部门或省药监局可会同有关部门直接参与职责范围之内的事件应对处置工作</w:t>
      </w:r>
      <w:r>
        <w:rPr>
          <w:rFonts w:hint="eastAsia" w:ascii="仿宋" w:hAnsi="仿宋" w:eastAsia="仿宋" w:cs="仿宋"/>
          <w:sz w:val="32"/>
          <w:szCs w:val="32"/>
          <w:lang w:eastAsia="zh-CN"/>
        </w:rPr>
        <w:t>。</w:t>
      </w:r>
    </w:p>
    <w:p w14:paraId="29B13899">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.3 应急响应级别调整和响应终止</w:t>
      </w:r>
    </w:p>
    <w:p w14:paraId="32CDEA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.3.1应急响应级别调整</w:t>
      </w:r>
    </w:p>
    <w:p w14:paraId="5D8311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药品安全突发事件处置过程中，当危害和影响持续扩大蔓延、情况复杂难以控制时，负责处置的政府专项指挥部应当及时组织评估，如评估结果显示事件进一步扩大，应提出提升响应级别建议，报上级药品监督管理部门，依据相关程序启动相应级别的应急响应</w:t>
      </w:r>
      <w:r>
        <w:rPr>
          <w:rFonts w:hint="eastAsia" w:ascii="仿宋" w:hAnsi="仿宋" w:eastAsia="仿宋" w:cs="仿宋"/>
          <w:color w:val="auto"/>
          <w:sz w:val="32"/>
          <w:szCs w:val="32"/>
        </w:rPr>
        <w:t>；</w:t>
      </w:r>
      <w:r>
        <w:rPr>
          <w:rFonts w:hint="eastAsia" w:ascii="仿宋" w:hAnsi="仿宋" w:eastAsia="仿宋" w:cs="仿宋"/>
          <w:sz w:val="32"/>
          <w:szCs w:val="32"/>
        </w:rPr>
        <w:t>当危害得到有效控制，经评估危害和影响降低至原响应级别标准以下，可决定降低响应级别，由下级市场监督管理部门依据相关程序启动相应级别的应急响应。</w:t>
      </w:r>
    </w:p>
    <w:p w14:paraId="359521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.3.2响应终止</w:t>
      </w:r>
    </w:p>
    <w:p w14:paraId="24D5BC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药品安全突发事件应急响应终止应由相应的专项指挥部办公室组织专家对事件进行风险研判，提出终止应急响应的建议，报本级政府专项指挥部批准后实施</w:t>
      </w:r>
      <w:r>
        <w:rPr>
          <w:rFonts w:hint="eastAsia" w:ascii="仿宋" w:hAnsi="仿宋" w:eastAsia="仿宋" w:cs="仿宋"/>
          <w:sz w:val="32"/>
          <w:szCs w:val="32"/>
          <w:lang w:eastAsia="zh-CN"/>
        </w:rPr>
        <w:t>，</w:t>
      </w:r>
      <w:r>
        <w:rPr>
          <w:rFonts w:hint="eastAsia" w:ascii="仿宋" w:hAnsi="仿宋" w:eastAsia="仿宋" w:cs="仿宋"/>
          <w:color w:val="auto"/>
          <w:sz w:val="32"/>
          <w:szCs w:val="32"/>
        </w:rPr>
        <w:t>并向上级药品监督管理部门</w:t>
      </w:r>
      <w:r>
        <w:rPr>
          <w:rFonts w:hint="eastAsia" w:ascii="仿宋" w:hAnsi="仿宋" w:eastAsia="仿宋" w:cs="仿宋"/>
          <w:color w:val="auto"/>
          <w:sz w:val="32"/>
          <w:szCs w:val="32"/>
          <w:lang w:eastAsia="zh-CN"/>
        </w:rPr>
        <w:t>作</w:t>
      </w:r>
      <w:r>
        <w:rPr>
          <w:rFonts w:hint="eastAsia" w:ascii="仿宋" w:hAnsi="仿宋" w:eastAsia="仿宋" w:cs="仿宋"/>
          <w:color w:val="auto"/>
          <w:sz w:val="32"/>
          <w:szCs w:val="32"/>
        </w:rPr>
        <w:t>出报告。</w:t>
      </w:r>
      <w:r>
        <w:rPr>
          <w:rFonts w:hint="eastAsia" w:ascii="仿宋" w:hAnsi="仿宋" w:eastAsia="仿宋" w:cs="仿宋"/>
          <w:sz w:val="32"/>
          <w:szCs w:val="32"/>
        </w:rPr>
        <w:t>终止应急响应需符合以下条件:事件涉及的患者病情稳定或损伤得到控制</w:t>
      </w:r>
      <w:r>
        <w:rPr>
          <w:rFonts w:hint="eastAsia" w:ascii="仿宋" w:hAnsi="仿宋" w:eastAsia="仿宋" w:cs="仿宋"/>
          <w:color w:val="auto"/>
          <w:sz w:val="32"/>
          <w:szCs w:val="32"/>
        </w:rPr>
        <w:t>，</w:t>
      </w:r>
      <w:r>
        <w:rPr>
          <w:rFonts w:hint="eastAsia" w:ascii="仿宋" w:hAnsi="仿宋" w:eastAsia="仿宋" w:cs="仿宋"/>
          <w:sz w:val="32"/>
          <w:szCs w:val="32"/>
        </w:rPr>
        <w:t>24小时内无新发病例;事件涉及的相关产品得到有效控制，源头追溯清楚，安全隐患或相关危害因素消除;事件原因查明，责任厘清，社会舆论得到有效引导。</w:t>
      </w:r>
    </w:p>
    <w:p w14:paraId="0D856C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.4信息发布</w:t>
      </w:r>
    </w:p>
    <w:p w14:paraId="341C8D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药品安全突发事件信息发布应坚持实事求是、及时准确、科学公正的原则。</w:t>
      </w:r>
    </w:p>
    <w:p w14:paraId="7C8C81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特别重大药品安全突发事件信息由国家药监局统一发布;重大药品安全突发事件信息由省专项指挥部统一发布</w:t>
      </w:r>
      <w:r>
        <w:rPr>
          <w:rFonts w:hint="eastAsia" w:ascii="仿宋" w:hAnsi="仿宋" w:eastAsia="仿宋" w:cs="仿宋"/>
          <w:color w:val="auto"/>
          <w:sz w:val="32"/>
          <w:szCs w:val="32"/>
        </w:rPr>
        <w:t>，</w:t>
      </w:r>
      <w:r>
        <w:rPr>
          <w:rFonts w:hint="eastAsia" w:ascii="仿宋" w:hAnsi="仿宋" w:eastAsia="仿宋" w:cs="仿宋"/>
          <w:sz w:val="32"/>
          <w:szCs w:val="32"/>
        </w:rPr>
        <w:t>并报省政府和国家药监局;较大药品安全突发事件信息由市级政府专项指挥部统一发布，并报省政府和省药监局;一般药品安全突发事件信息由事发地县（区）政府专项指挥部统一发布，并报市级政府及市场监督管理部门</w:t>
      </w:r>
    </w:p>
    <w:p w14:paraId="2F9E7C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color w:val="FF0000"/>
          <w:sz w:val="32"/>
          <w:szCs w:val="32"/>
          <w:lang w:val="en-US" w:eastAsia="zh-CN"/>
        </w:rPr>
      </w:pPr>
      <w:r>
        <w:rPr>
          <w:rFonts w:hint="eastAsia" w:ascii="仿宋" w:hAnsi="仿宋" w:eastAsia="仿宋" w:cs="仿宋"/>
          <w:sz w:val="32"/>
          <w:szCs w:val="32"/>
        </w:rPr>
        <w:t>药品安</w:t>
      </w:r>
      <w:r>
        <w:rPr>
          <w:rFonts w:hint="eastAsia" w:ascii="仿宋" w:hAnsi="仿宋" w:eastAsia="仿宋" w:cs="仿宋"/>
          <w:sz w:val="32"/>
          <w:szCs w:val="32"/>
          <w:lang w:eastAsia="zh-CN"/>
        </w:rPr>
        <w:t>全</w:t>
      </w:r>
      <w:r>
        <w:rPr>
          <w:rFonts w:hint="eastAsia" w:ascii="仿宋" w:hAnsi="仿宋" w:eastAsia="仿宋" w:cs="仿宋"/>
          <w:sz w:val="32"/>
          <w:szCs w:val="32"/>
        </w:rPr>
        <w:t>突发事件发生后，应按照有关规定第一时间</w:t>
      </w:r>
      <w:r>
        <w:rPr>
          <w:rFonts w:hint="eastAsia" w:ascii="仿宋" w:hAnsi="仿宋" w:eastAsia="仿宋" w:cs="仿宋"/>
          <w:color w:val="auto"/>
          <w:sz w:val="32"/>
          <w:szCs w:val="32"/>
        </w:rPr>
        <w:t>向</w:t>
      </w:r>
      <w:r>
        <w:rPr>
          <w:rFonts w:hint="eastAsia" w:ascii="仿宋" w:hAnsi="仿宋" w:eastAsia="仿宋" w:cs="仿宋"/>
          <w:sz w:val="32"/>
          <w:szCs w:val="32"/>
        </w:rPr>
        <w:t>社会发布简要信息，回应社会关切，并根据事件发展情况</w:t>
      </w:r>
      <w:r>
        <w:rPr>
          <w:rFonts w:hint="eastAsia" w:ascii="仿宋" w:hAnsi="仿宋" w:eastAsia="仿宋" w:cs="仿宋"/>
          <w:color w:val="auto"/>
          <w:sz w:val="32"/>
          <w:szCs w:val="32"/>
        </w:rPr>
        <w:t>做</w:t>
      </w:r>
      <w:r>
        <w:rPr>
          <w:rFonts w:hint="eastAsia" w:ascii="仿宋" w:hAnsi="仿宋" w:eastAsia="仿宋" w:cs="仿宋"/>
          <w:sz w:val="32"/>
          <w:szCs w:val="32"/>
        </w:rPr>
        <w:t>好后续信息发布和舆论引导工作。信息发布形式包括组织媒体报道、举行新闻发布会或通过政府网站发布等。</w:t>
      </w:r>
    </w:p>
    <w:p w14:paraId="0E8342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6</w:t>
      </w:r>
      <w:r>
        <w:rPr>
          <w:rFonts w:hint="eastAsia" w:ascii="微软雅黑" w:hAnsi="微软雅黑" w:eastAsia="微软雅黑" w:cs="微软雅黑"/>
          <w:sz w:val="32"/>
          <w:szCs w:val="32"/>
        </w:rPr>
        <w:t>后期处置与总结评估</w:t>
      </w:r>
    </w:p>
    <w:p w14:paraId="7DFFBAC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.1后期处置</w:t>
      </w:r>
    </w:p>
    <w:p w14:paraId="162AC25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color w:val="auto"/>
          <w:sz w:val="32"/>
          <w:szCs w:val="32"/>
        </w:rPr>
      </w:pPr>
      <w:r>
        <w:rPr>
          <w:rFonts w:hint="eastAsia" w:ascii="仿宋" w:hAnsi="仿宋" w:eastAsia="仿宋" w:cs="仿宋"/>
          <w:sz w:val="32"/>
          <w:szCs w:val="32"/>
        </w:rPr>
        <w:t>药品安全突发事件应急响应终止后，按照事件性质和级别，由市场监督管理部门或有关部门根据调查结果和认定结论，依法依规进行处理。涉嫌</w:t>
      </w:r>
      <w:r>
        <w:rPr>
          <w:rFonts w:hint="eastAsia" w:ascii="仿宋" w:hAnsi="仿宋" w:eastAsia="仿宋" w:cs="仿宋"/>
          <w:sz w:val="32"/>
          <w:szCs w:val="32"/>
          <w:lang w:eastAsia="zh-CN"/>
        </w:rPr>
        <w:t>生产、</w:t>
      </w:r>
      <w:r>
        <w:rPr>
          <w:rFonts w:hint="eastAsia" w:ascii="仿宋" w:hAnsi="仿宋" w:eastAsia="仿宋" w:cs="仿宋"/>
          <w:sz w:val="32"/>
          <w:szCs w:val="32"/>
        </w:rPr>
        <w:t>销</w:t>
      </w:r>
      <w:r>
        <w:rPr>
          <w:rFonts w:hint="eastAsia" w:ascii="仿宋" w:hAnsi="仿宋" w:eastAsia="仿宋" w:cs="仿宋"/>
          <w:color w:val="auto"/>
          <w:sz w:val="32"/>
          <w:szCs w:val="32"/>
        </w:rPr>
        <w:t>售</w:t>
      </w:r>
      <w:r>
        <w:rPr>
          <w:rFonts w:hint="eastAsia" w:ascii="仿宋" w:hAnsi="仿宋" w:eastAsia="仿宋" w:cs="仿宋"/>
          <w:sz w:val="32"/>
          <w:szCs w:val="32"/>
        </w:rPr>
        <w:t>假劣药品并构成犯罪的，由公安机关依法开展案件调查工作;确定是药品质量导致的，由市场监督管理部门依法对有关责任主体进行查处;确定是临床用药不合理或错误导致的，由卫生健康部对有关医疗机构依法处理;</w:t>
      </w:r>
      <w:r>
        <w:rPr>
          <w:rFonts w:hint="eastAsia" w:ascii="仿宋" w:hAnsi="仿宋" w:eastAsia="仿宋" w:cs="仿宋"/>
          <w:sz w:val="32"/>
          <w:szCs w:val="32"/>
          <w:lang w:eastAsia="zh-CN"/>
        </w:rPr>
        <w:t>疑似</w:t>
      </w:r>
      <w:r>
        <w:rPr>
          <w:rFonts w:hint="eastAsia" w:ascii="仿宋" w:hAnsi="仿宋" w:eastAsia="仿宋" w:cs="仿宋"/>
          <w:sz w:val="32"/>
          <w:szCs w:val="32"/>
        </w:rPr>
        <w:t>为新的严重药品不良反应的，</w:t>
      </w:r>
      <w:r>
        <w:rPr>
          <w:rFonts w:hint="eastAsia" w:ascii="仿宋" w:hAnsi="仿宋" w:eastAsia="仿宋" w:cs="仿宋"/>
          <w:color w:val="auto"/>
          <w:sz w:val="32"/>
          <w:szCs w:val="32"/>
        </w:rPr>
        <w:t>由市市场监管局统一报请省药监局</w:t>
      </w:r>
      <w:r>
        <w:rPr>
          <w:rFonts w:hint="eastAsia" w:ascii="仿宋" w:hAnsi="仿宋" w:eastAsia="仿宋" w:cs="仿宋"/>
          <w:color w:val="auto"/>
          <w:sz w:val="32"/>
          <w:szCs w:val="32"/>
          <w:lang w:eastAsia="zh-CN"/>
        </w:rPr>
        <w:t>评估确认</w:t>
      </w:r>
      <w:r>
        <w:rPr>
          <w:rFonts w:hint="eastAsia" w:ascii="仿宋" w:hAnsi="仿宋" w:eastAsia="仿宋" w:cs="仿宋"/>
          <w:color w:val="auto"/>
          <w:sz w:val="32"/>
          <w:szCs w:val="32"/>
        </w:rPr>
        <w:t>。</w:t>
      </w:r>
    </w:p>
    <w:p w14:paraId="206B3F9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.2 奖惩措施</w:t>
      </w:r>
    </w:p>
    <w:p w14:paraId="2E247F1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市、县（区）政府或有关部门应按照有关规定对在参加药品安全突发事件应急处置工作中做出突出贡献的集体和个人给予奖励或通报表扬;对有失职、渎职等行为的责任单位和责任人依法追究责任。</w:t>
      </w:r>
    </w:p>
    <w:p w14:paraId="123CA58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.3 总结评估</w:t>
      </w:r>
    </w:p>
    <w:p w14:paraId="471A35A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药品安全突发事件处置结束后，负责处置的政府专项指挥部应及时形成总结报告。内容主要包括：事件概况、现场调查处理情况、患者救治情况、采取的措施及效果评价、事件原因和影响因素分析、处置过程中存在的问题、取得的经验教训</w:t>
      </w:r>
      <w:r>
        <w:rPr>
          <w:rFonts w:hint="eastAsia" w:ascii="仿宋" w:hAnsi="仿宋" w:eastAsia="仿宋" w:cs="仿宋"/>
          <w:color w:val="auto"/>
          <w:sz w:val="32"/>
          <w:szCs w:val="32"/>
          <w:lang w:eastAsia="zh-CN"/>
        </w:rPr>
        <w:t>及改进建议</w:t>
      </w:r>
      <w:r>
        <w:rPr>
          <w:rFonts w:hint="eastAsia" w:ascii="仿宋" w:hAnsi="仿宋" w:eastAsia="仿宋" w:cs="仿宋"/>
          <w:sz w:val="32"/>
          <w:szCs w:val="32"/>
        </w:rPr>
        <w:t>。总结报告原则上应在事件处置结束后 1周内完成</w:t>
      </w:r>
      <w:r>
        <w:rPr>
          <w:rFonts w:hint="eastAsia" w:ascii="仿宋" w:hAnsi="仿宋" w:eastAsia="仿宋" w:cs="仿宋"/>
          <w:color w:val="auto"/>
          <w:sz w:val="32"/>
          <w:szCs w:val="32"/>
        </w:rPr>
        <w:t>，</w:t>
      </w:r>
      <w:r>
        <w:rPr>
          <w:rFonts w:hint="eastAsia" w:ascii="仿宋" w:hAnsi="仿宋" w:eastAsia="仿宋" w:cs="仿宋"/>
          <w:sz w:val="32"/>
          <w:szCs w:val="32"/>
        </w:rPr>
        <w:t>经本级政府批准后报上一级政府。</w:t>
      </w:r>
      <w:r>
        <w:rPr>
          <w:rFonts w:hint="eastAsia" w:ascii="仿宋" w:hAnsi="仿宋" w:eastAsia="仿宋" w:cs="仿宋"/>
          <w:color w:val="auto"/>
          <w:sz w:val="32"/>
          <w:szCs w:val="32"/>
        </w:rPr>
        <w:t>评估结果作为事件调查处理和善后处置的重要依据。</w:t>
      </w:r>
    </w:p>
    <w:p w14:paraId="5FE375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指挥部办公室</w:t>
      </w:r>
      <w:r>
        <w:rPr>
          <w:rFonts w:hint="eastAsia" w:ascii="仿宋" w:hAnsi="仿宋" w:eastAsia="仿宋" w:cs="仿宋"/>
          <w:sz w:val="32"/>
          <w:szCs w:val="32"/>
        </w:rPr>
        <w:t>应对事件处置工作进行总结评估，提出对类似事件的防范和处置建议</w:t>
      </w:r>
      <w:r>
        <w:rPr>
          <w:rFonts w:hint="eastAsia" w:ascii="仿宋" w:hAnsi="仿宋" w:eastAsia="仿宋" w:cs="仿宋"/>
          <w:sz w:val="32"/>
          <w:szCs w:val="32"/>
          <w:lang w:eastAsia="zh-CN"/>
        </w:rPr>
        <w:t>，</w:t>
      </w:r>
      <w:r>
        <w:rPr>
          <w:rFonts w:hint="eastAsia" w:ascii="仿宋" w:hAnsi="仿宋" w:eastAsia="仿宋" w:cs="仿宋"/>
          <w:sz w:val="32"/>
          <w:szCs w:val="32"/>
        </w:rPr>
        <w:t>进一步提高应急处置能力和水平</w:t>
      </w:r>
      <w:r>
        <w:rPr>
          <w:rFonts w:hint="eastAsia" w:ascii="仿宋" w:hAnsi="仿宋" w:eastAsia="仿宋" w:cs="仿宋"/>
          <w:sz w:val="32"/>
          <w:szCs w:val="32"/>
          <w:lang w:val="en-US" w:eastAsia="zh-CN"/>
        </w:rPr>
        <w:t>;并</w:t>
      </w:r>
      <w:r>
        <w:rPr>
          <w:rFonts w:hint="eastAsia" w:ascii="仿宋" w:hAnsi="仿宋" w:eastAsia="仿宋" w:cs="仿宋"/>
          <w:sz w:val="32"/>
          <w:szCs w:val="32"/>
        </w:rPr>
        <w:t>依据评估结果和事件处置的全过程形成结案报告，报送同级政府和上级药品监督管理部门。</w:t>
      </w:r>
    </w:p>
    <w:p w14:paraId="52EA8A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微软雅黑" w:hAnsi="微软雅黑" w:eastAsia="微软雅黑" w:cs="微软雅黑"/>
          <w:sz w:val="32"/>
          <w:szCs w:val="32"/>
          <w:lang w:val="en-US" w:eastAsia="zh-CN"/>
        </w:rPr>
        <w:t>7</w:t>
      </w:r>
      <w:r>
        <w:rPr>
          <w:rFonts w:hint="eastAsia" w:ascii="微软雅黑" w:hAnsi="微软雅黑" w:eastAsia="微软雅黑" w:cs="微软雅黑"/>
          <w:sz w:val="32"/>
          <w:szCs w:val="32"/>
        </w:rPr>
        <w:t>应急保障</w:t>
      </w:r>
    </w:p>
    <w:p w14:paraId="49A46C4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.1物资经费</w:t>
      </w:r>
    </w:p>
    <w:p w14:paraId="49E66FC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市、县（区）政府应将药品安全突发事件预防控制与应急处置相关工作经费列入年度财政预算。专项指挥部各成员单位在各自职责范围内组织应急物资的储存、调拨和紧急供应工作。</w:t>
      </w:r>
    </w:p>
    <w:p w14:paraId="07AF545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.2医疗救治</w:t>
      </w:r>
    </w:p>
    <w:p w14:paraId="70DC8C6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各级卫生健康部门应组建应急医疗救治队伍并指定急救机构，按照“分级救治”原则组织开展医疗救护工作。</w:t>
      </w:r>
    </w:p>
    <w:p w14:paraId="29E0158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.3应急队伍</w:t>
      </w:r>
    </w:p>
    <w:p w14:paraId="026606E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专项指挥部各成员单位应组建应急队伍，通过培训、演练等方式不断强化队伍建设和管理，提高快速响应及应急处置能力。</w:t>
      </w:r>
    </w:p>
    <w:p w14:paraId="5FB768A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.4技术支撑</w:t>
      </w:r>
    </w:p>
    <w:p w14:paraId="4CF8718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市、县（区）政府应加强药品</w:t>
      </w:r>
      <w:r>
        <w:rPr>
          <w:rFonts w:hint="eastAsia" w:ascii="仿宋" w:hAnsi="仿宋" w:eastAsia="仿宋" w:cs="仿宋"/>
          <w:sz w:val="32"/>
          <w:szCs w:val="32"/>
          <w:lang w:eastAsia="zh-CN"/>
        </w:rPr>
        <w:t>（医疗器</w:t>
      </w:r>
      <w:r>
        <w:rPr>
          <w:rFonts w:hint="default" w:ascii="仿宋" w:hAnsi="仿宋" w:eastAsia="仿宋" w:cs="仿宋"/>
          <w:sz w:val="32"/>
          <w:szCs w:val="32"/>
        </w:rPr>
        <w:t>械</w:t>
      </w:r>
      <w:r>
        <w:rPr>
          <w:rFonts w:hint="eastAsia" w:ascii="仿宋" w:hAnsi="仿宋" w:eastAsia="仿宋" w:cs="仿宋"/>
          <w:sz w:val="32"/>
          <w:szCs w:val="32"/>
          <w:lang w:eastAsia="zh-CN"/>
        </w:rPr>
        <w:t>）</w:t>
      </w:r>
      <w:r>
        <w:rPr>
          <w:rFonts w:hint="default" w:ascii="仿宋" w:hAnsi="仿宋" w:eastAsia="仿宋" w:cs="仿宋"/>
          <w:sz w:val="32"/>
          <w:szCs w:val="32"/>
        </w:rPr>
        <w:t>不良反应（事件）监测机构</w:t>
      </w:r>
      <w:r>
        <w:rPr>
          <w:rFonts w:hint="eastAsia" w:ascii="仿宋" w:hAnsi="仿宋" w:eastAsia="仿宋" w:cs="仿宋"/>
          <w:sz w:val="32"/>
          <w:szCs w:val="32"/>
        </w:rPr>
        <w:t>、检验检</w:t>
      </w:r>
      <w:r>
        <w:rPr>
          <w:rFonts w:hint="eastAsia" w:ascii="仿宋" w:hAnsi="仿宋" w:eastAsia="仿宋" w:cs="仿宋"/>
          <w:sz w:val="32"/>
          <w:szCs w:val="32"/>
          <w:lang w:eastAsia="zh-CN"/>
        </w:rPr>
        <w:t>测</w:t>
      </w:r>
      <w:r>
        <w:rPr>
          <w:rFonts w:hint="eastAsia" w:ascii="仿宋" w:hAnsi="仿宋" w:eastAsia="仿宋" w:cs="仿宋"/>
          <w:sz w:val="32"/>
          <w:szCs w:val="32"/>
        </w:rPr>
        <w:t>机构建设，保证其设施、人员、设备、职能“四到位”。</w:t>
      </w:r>
    </w:p>
    <w:p w14:paraId="001D8FA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市、县（区）市场监督管理部门应定期开展风险评估和案例研判。</w:t>
      </w:r>
    </w:p>
    <w:p w14:paraId="4E0589C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相关专业技术机构应开展专业技术研究，加强人员培训，完善技术装备，提高快速应对能力和检验检测水平，为药品安全突发事件应急处置提供技术支撑。</w:t>
      </w:r>
    </w:p>
    <w:p w14:paraId="6E7DF97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.5 信息报送</w:t>
      </w:r>
    </w:p>
    <w:p w14:paraId="1A7E889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市、县（区）监督管理部门应充分利用现有资源，切实做好药品安全突发事件信息的报告、收集、处理、传递、通报等工作。</w:t>
      </w:r>
    </w:p>
    <w:p w14:paraId="00F88C9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.6 培训演练</w:t>
      </w:r>
    </w:p>
    <w:p w14:paraId="11C1743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市、县（区）政府专项指挥部办公室应定期组织开展药品安全突发事件应急培训与演练</w:t>
      </w:r>
      <w:r>
        <w:rPr>
          <w:rFonts w:hint="eastAsia" w:ascii="仿宋" w:hAnsi="仿宋" w:eastAsia="仿宋" w:cs="仿宋"/>
          <w:sz w:val="32"/>
          <w:szCs w:val="32"/>
          <w:lang w:eastAsia="zh-CN"/>
        </w:rPr>
        <w:t>，</w:t>
      </w:r>
      <w:r>
        <w:rPr>
          <w:rFonts w:hint="eastAsia" w:ascii="仿宋" w:hAnsi="仿宋" w:eastAsia="仿宋" w:cs="仿宋"/>
          <w:sz w:val="32"/>
          <w:szCs w:val="32"/>
        </w:rPr>
        <w:t>提升实战应对能力、科学处置能力、应急反应能力。</w:t>
      </w:r>
    </w:p>
    <w:p w14:paraId="1D5D9F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7</w:t>
      </w:r>
      <w:r>
        <w:rPr>
          <w:rFonts w:hint="eastAsia" w:ascii="楷体" w:hAnsi="楷体" w:eastAsia="楷体" w:cs="楷体"/>
          <w:sz w:val="32"/>
          <w:szCs w:val="32"/>
        </w:rPr>
        <w:t>.7 宣传教育</w:t>
      </w:r>
    </w:p>
    <w:p w14:paraId="7AB5AA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市、县（区）政府及有关单位应加大药品安全科普知识宣传力度，引导公众正确认识和对待药品不良反应，</w:t>
      </w:r>
      <w:r>
        <w:rPr>
          <w:rFonts w:hint="default" w:ascii="仿宋" w:hAnsi="仿宋" w:eastAsia="仿宋" w:cs="仿宋"/>
          <w:sz w:val="32"/>
          <w:szCs w:val="32"/>
        </w:rPr>
        <w:t>提高全民药品不良反应报告意识。引导媒体正确宣传药品不良反应、医疗器械不良事件，</w:t>
      </w:r>
      <w:r>
        <w:rPr>
          <w:rFonts w:hint="eastAsia" w:ascii="仿宋" w:hAnsi="仿宋" w:eastAsia="仿宋" w:cs="仿宋"/>
          <w:sz w:val="32"/>
          <w:szCs w:val="32"/>
        </w:rPr>
        <w:t>避免社会恐慌。开展合理用药宣传，防止因不合理用药引发安全事件。</w:t>
      </w:r>
    </w:p>
    <w:p w14:paraId="68017D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小标宋简体" w:hAnsi="方正小标宋简体" w:eastAsia="方正小标宋简体" w:cs="方正小标宋简体"/>
          <w:sz w:val="32"/>
          <w:szCs w:val="32"/>
        </w:rPr>
      </w:pPr>
      <w:r>
        <w:rPr>
          <w:rFonts w:hint="eastAsia" w:ascii="微软雅黑" w:hAnsi="微软雅黑" w:eastAsia="微软雅黑" w:cs="微软雅黑"/>
          <w:sz w:val="32"/>
          <w:szCs w:val="32"/>
          <w:lang w:val="en-US" w:eastAsia="zh-CN"/>
        </w:rPr>
        <w:t>8</w:t>
      </w:r>
      <w:r>
        <w:rPr>
          <w:rFonts w:hint="eastAsia" w:ascii="微软雅黑" w:hAnsi="微软雅黑" w:eastAsia="微软雅黑" w:cs="微软雅黑"/>
          <w:sz w:val="32"/>
          <w:szCs w:val="32"/>
        </w:rPr>
        <w:t xml:space="preserve"> 附则</w:t>
      </w:r>
    </w:p>
    <w:p w14:paraId="46E8568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8</w:t>
      </w:r>
      <w:r>
        <w:rPr>
          <w:rFonts w:hint="eastAsia" w:ascii="楷体" w:hAnsi="楷体" w:eastAsia="楷体" w:cs="楷体"/>
          <w:sz w:val="32"/>
          <w:szCs w:val="32"/>
        </w:rPr>
        <w:t>.1 预案管理</w:t>
      </w:r>
    </w:p>
    <w:p w14:paraId="1A8F638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市专项指挥部各成员单位应按照本预案确定的职责分工，制定本单位的药品安全突发事件应急预案或应急处置机制，并指导县（区）对口单位建立健全药品安全突发事件应急预案或应急处置机制。</w:t>
      </w:r>
    </w:p>
    <w:p w14:paraId="26AEC4D8">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default" w:ascii="Times New Roman" w:hAnsi="Times New Roman" w:eastAsia="楷体_GB2312" w:cs="Times New Roman"/>
          <w:b w:val="0"/>
          <w:bCs w:val="0"/>
          <w:color w:val="FF0000"/>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楷体" w:hAnsi="楷体" w:eastAsia="楷体" w:cs="楷体"/>
          <w:sz w:val="32"/>
          <w:szCs w:val="32"/>
          <w:lang w:val="en-US" w:eastAsia="zh-CN"/>
        </w:rPr>
        <w:t>8</w:t>
      </w:r>
      <w:r>
        <w:rPr>
          <w:rFonts w:hint="default" w:ascii="楷体" w:hAnsi="楷体" w:eastAsia="楷体" w:cs="楷体"/>
          <w:sz w:val="32"/>
          <w:szCs w:val="32"/>
        </w:rPr>
        <w:t>.2名词术语</w:t>
      </w:r>
    </w:p>
    <w:p w14:paraId="7FFC07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rPr>
        <w:t>药品安全突发事件：是指同一企业的同一药品（含医疗器械）在预防、诊断、治疗、使用过程中，在同一地区、同一时段内多人发生怀疑与该药品（含医疗器械）有关的临床症状相似的异常有害反应的紧急事件。</w:t>
      </w:r>
    </w:p>
    <w:p w14:paraId="430EAFA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8</w:t>
      </w:r>
      <w:r>
        <w:rPr>
          <w:rFonts w:hint="eastAsia" w:ascii="楷体" w:hAnsi="楷体" w:eastAsia="楷体" w:cs="楷体"/>
          <w:sz w:val="32"/>
          <w:szCs w:val="32"/>
        </w:rPr>
        <w:t>.</w:t>
      </w:r>
      <w:r>
        <w:rPr>
          <w:rFonts w:hint="eastAsia" w:ascii="楷体" w:hAnsi="楷体" w:eastAsia="楷体" w:cs="楷体"/>
          <w:sz w:val="32"/>
          <w:szCs w:val="32"/>
          <w:lang w:val="en-US" w:eastAsia="zh-CN"/>
        </w:rPr>
        <w:t>3</w:t>
      </w:r>
      <w:r>
        <w:rPr>
          <w:rFonts w:hint="eastAsia" w:ascii="楷体" w:hAnsi="楷体" w:eastAsia="楷体" w:cs="楷体"/>
          <w:sz w:val="32"/>
          <w:szCs w:val="32"/>
        </w:rPr>
        <w:t xml:space="preserve"> 预案实施</w:t>
      </w:r>
    </w:p>
    <w:p w14:paraId="69D3CCE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本预案自印发之日起施行。</w:t>
      </w:r>
    </w:p>
    <w:p w14:paraId="301DE5E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8</w:t>
      </w:r>
      <w:r>
        <w:rPr>
          <w:rFonts w:hint="eastAsia" w:ascii="楷体" w:hAnsi="楷体" w:eastAsia="楷体" w:cs="楷体"/>
          <w:sz w:val="32"/>
          <w:szCs w:val="32"/>
        </w:rPr>
        <w:t>.</w:t>
      </w:r>
      <w:r>
        <w:rPr>
          <w:rFonts w:hint="eastAsia" w:ascii="楷体" w:hAnsi="楷体" w:eastAsia="楷体" w:cs="楷体"/>
          <w:sz w:val="32"/>
          <w:szCs w:val="32"/>
          <w:lang w:val="en-US" w:eastAsia="zh-CN"/>
        </w:rPr>
        <w:t>4</w:t>
      </w:r>
      <w:r>
        <w:rPr>
          <w:rFonts w:hint="eastAsia" w:ascii="楷体" w:hAnsi="楷体" w:eastAsia="楷体" w:cs="楷体"/>
          <w:sz w:val="32"/>
          <w:szCs w:val="32"/>
        </w:rPr>
        <w:t xml:space="preserve"> 预案解释部门</w:t>
      </w:r>
    </w:p>
    <w:p w14:paraId="6102A32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本预案由市市场监管局负责解释，并根据相关法律法规及有关规定，结合药品安全管理工作实际及时修订。</w:t>
      </w:r>
    </w:p>
    <w:p w14:paraId="689ABCD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 1.药品安全突发事件分级标准和响应级别</w:t>
      </w:r>
    </w:p>
    <w:p w14:paraId="1D818766">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ascii="仿宋" w:hAnsi="仿宋" w:eastAsia="仿宋" w:cs="仿宋"/>
          <w:sz w:val="32"/>
          <w:szCs w:val="32"/>
        </w:rPr>
      </w:pPr>
      <w:r>
        <w:rPr>
          <w:rFonts w:hint="eastAsia" w:ascii="仿宋" w:hAnsi="仿宋" w:eastAsia="仿宋" w:cs="仿宋"/>
          <w:sz w:val="32"/>
          <w:szCs w:val="32"/>
        </w:rPr>
        <w:t>2.药品安全突发事件报送资料明细</w:t>
      </w:r>
    </w:p>
    <w:p w14:paraId="5FBC10A2">
      <w:pPr>
        <w:rPr>
          <w:rFonts w:ascii="仿宋" w:hAnsi="仿宋" w:eastAsia="仿宋" w:cs="仿宋"/>
          <w:sz w:val="32"/>
          <w:szCs w:val="32"/>
        </w:rPr>
      </w:pPr>
      <w:r>
        <w:rPr>
          <w:rFonts w:hint="eastAsia" w:ascii="仿宋" w:hAnsi="仿宋" w:eastAsia="仿宋" w:cs="仿宋"/>
          <w:sz w:val="32"/>
          <w:szCs w:val="32"/>
        </w:rPr>
        <w:br w:type="page"/>
      </w:r>
    </w:p>
    <w:p w14:paraId="0B3A7E14">
      <w:r>
        <w:rPr>
          <w:rFonts w:hint="eastAsia"/>
        </w:rPr>
        <w:t>附件1</w:t>
      </w:r>
    </w:p>
    <w:p w14:paraId="2341FD4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药品安全突发事件分级标准和相应级别</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7200"/>
        <w:gridCol w:w="679"/>
      </w:tblGrid>
      <w:tr w14:paraId="646B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643" w:type="dxa"/>
            <w:vAlign w:val="center"/>
          </w:tcPr>
          <w:p w14:paraId="12D28BDE">
            <w:pPr>
              <w:jc w:val="center"/>
            </w:pPr>
            <w:r>
              <w:rPr>
                <w:rFonts w:hint="eastAsia" w:ascii="方正小标宋简体" w:hAnsi="方正小标宋简体" w:eastAsia="方正小标宋简体" w:cs="方正小标宋简体"/>
              </w:rPr>
              <w:t>事件类别</w:t>
            </w:r>
          </w:p>
        </w:tc>
        <w:tc>
          <w:tcPr>
            <w:tcW w:w="7200" w:type="dxa"/>
            <w:vAlign w:val="center"/>
          </w:tcPr>
          <w:p w14:paraId="3B0EF79F">
            <w:pPr>
              <w:jc w:val="center"/>
            </w:pPr>
            <w:r>
              <w:rPr>
                <w:rFonts w:hint="eastAsia" w:ascii="方正小标宋简体" w:hAnsi="方正小标宋简体" w:eastAsia="方正小标宋简体" w:cs="方正小标宋简体"/>
              </w:rPr>
              <w:t>分级标准</w:t>
            </w:r>
          </w:p>
        </w:tc>
        <w:tc>
          <w:tcPr>
            <w:tcW w:w="679" w:type="dxa"/>
            <w:vAlign w:val="center"/>
          </w:tcPr>
          <w:p w14:paraId="785EA246">
            <w:pPr>
              <w:jc w:val="center"/>
            </w:pPr>
            <w:r>
              <w:rPr>
                <w:rFonts w:hint="eastAsia" w:ascii="方正小标宋简体" w:hAnsi="方正小标宋简体" w:eastAsia="方正小标宋简体" w:cs="方正小标宋简体"/>
              </w:rPr>
              <w:t>相应级别</w:t>
            </w:r>
          </w:p>
        </w:tc>
      </w:tr>
      <w:tr w14:paraId="0C7C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347E38F4">
            <w:pPr>
              <w:jc w:val="center"/>
            </w:pPr>
            <w:r>
              <w:rPr>
                <w:rFonts w:hint="eastAsia"/>
              </w:rPr>
              <w:t>特别重大</w:t>
            </w:r>
          </w:p>
        </w:tc>
        <w:tc>
          <w:tcPr>
            <w:tcW w:w="7200" w:type="dxa"/>
            <w:vAlign w:val="center"/>
          </w:tcPr>
          <w:p w14:paraId="172D9F66">
            <w:pPr>
              <w:jc w:val="left"/>
              <w:rPr>
                <w:rFonts w:ascii="宋体" w:hAnsi="宋体" w:eastAsia="宋体" w:cs="宋体"/>
              </w:rPr>
            </w:pPr>
            <w:r>
              <w:rPr>
                <w:rFonts w:hint="eastAsia" w:ascii="宋体" w:hAnsi="宋体" w:eastAsia="宋体" w:cs="宋体"/>
              </w:rPr>
              <w:t>符合下列情形之一的药品安全事件:</w:t>
            </w:r>
          </w:p>
          <w:p w14:paraId="730B5AE5">
            <w:pPr>
              <w:jc w:val="left"/>
              <w:rPr>
                <w:rFonts w:ascii="宋体" w:hAnsi="宋体" w:eastAsia="宋体" w:cs="宋体"/>
              </w:rPr>
            </w:pPr>
            <w:r>
              <w:rPr>
                <w:rFonts w:hint="eastAsia" w:ascii="宋体" w:hAnsi="宋体" w:eastAsia="宋体" w:cs="宋体"/>
              </w:rPr>
              <w:t>1. 在相对集中的时间和区域内，批号相对集中的同一药品引起临床表现相似的，且罕见或非预期的不良反应的人数超过50人 (含);或者引起特别严重不良反应 (可能对人体造成永久性伤残、对器官功能造成永久性损伤或危及生命) 的人数超过10人(含);</w:t>
            </w:r>
          </w:p>
          <w:p w14:paraId="7B3D83AD">
            <w:pPr>
              <w:jc w:val="left"/>
              <w:rPr>
                <w:rFonts w:ascii="宋体" w:hAnsi="宋体" w:eastAsia="宋体" w:cs="宋体"/>
              </w:rPr>
            </w:pPr>
            <w:r>
              <w:rPr>
                <w:rFonts w:hint="eastAsia" w:ascii="宋体" w:hAnsi="宋体" w:eastAsia="宋体" w:cs="宋体"/>
              </w:rPr>
              <w:t>2.同一批号药品短期内引起 5 人 (含) 以上患者死亡;</w:t>
            </w:r>
          </w:p>
          <w:p w14:paraId="699E6AB7">
            <w:pPr>
              <w:jc w:val="left"/>
              <w:rPr>
                <w:rFonts w:ascii="宋体" w:hAnsi="宋体" w:eastAsia="宋体" w:cs="宋体"/>
              </w:rPr>
            </w:pPr>
            <w:r>
              <w:rPr>
                <w:rFonts w:hint="eastAsia" w:ascii="宋体" w:hAnsi="宋体" w:eastAsia="宋体" w:cs="宋体"/>
              </w:rPr>
              <w:t>3.短期内 2 个以上省 (区、市) 因同一药品发生重大药品安全突发事件;</w:t>
            </w:r>
          </w:p>
          <w:p w14:paraId="4E044560">
            <w:pPr>
              <w:jc w:val="left"/>
              <w:rPr>
                <w:rFonts w:ascii="宋体" w:hAnsi="宋体" w:eastAsia="宋体" w:cs="宋体"/>
              </w:rPr>
            </w:pPr>
            <w:r>
              <w:rPr>
                <w:rFonts w:hint="eastAsia" w:ascii="宋体" w:hAnsi="宋体" w:eastAsia="宋体" w:cs="宋体"/>
              </w:rPr>
              <w:t>4. 其他危害特别严重的药品安全突发事件。</w:t>
            </w:r>
          </w:p>
        </w:tc>
        <w:tc>
          <w:tcPr>
            <w:tcW w:w="679" w:type="dxa"/>
            <w:vAlign w:val="center"/>
          </w:tcPr>
          <w:p w14:paraId="57F389CB">
            <w:pPr>
              <w:jc w:val="center"/>
              <w:rPr>
                <w:rFonts w:ascii="宋体" w:hAnsi="宋体" w:eastAsia="宋体" w:cs="宋体"/>
                <w:szCs w:val="21"/>
              </w:rPr>
            </w:pPr>
            <w:r>
              <w:rPr>
                <w:rFonts w:hint="eastAsia" w:ascii="宋体" w:hAnsi="宋体" w:eastAsia="宋体" w:cs="宋体"/>
                <w:szCs w:val="21"/>
              </w:rPr>
              <w:t>Ⅰ级应急响应</w:t>
            </w:r>
          </w:p>
        </w:tc>
      </w:tr>
      <w:tr w14:paraId="49B0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4A4E9CC6">
            <w:pPr>
              <w:jc w:val="center"/>
            </w:pPr>
            <w:r>
              <w:rPr>
                <w:rFonts w:hint="eastAsia"/>
              </w:rPr>
              <w:t>重大</w:t>
            </w:r>
          </w:p>
        </w:tc>
        <w:tc>
          <w:tcPr>
            <w:tcW w:w="7200" w:type="dxa"/>
            <w:vAlign w:val="center"/>
          </w:tcPr>
          <w:p w14:paraId="0ECE5172">
            <w:pPr>
              <w:rPr>
                <w:rFonts w:ascii="宋体" w:hAnsi="宋体" w:eastAsia="宋体" w:cs="宋体"/>
              </w:rPr>
            </w:pPr>
            <w:r>
              <w:rPr>
                <w:rFonts w:hint="eastAsia" w:ascii="宋体" w:hAnsi="宋体" w:eastAsia="宋体" w:cs="宋体"/>
              </w:rPr>
              <w:t>符合下列情形之一的药品安全事件:</w:t>
            </w:r>
          </w:p>
          <w:p w14:paraId="2520F090">
            <w:pPr>
              <w:rPr>
                <w:rFonts w:ascii="宋体" w:hAnsi="宋体" w:eastAsia="宋体" w:cs="宋体"/>
              </w:rPr>
            </w:pPr>
            <w:r>
              <w:rPr>
                <w:rFonts w:hint="eastAsia" w:ascii="宋体" w:hAnsi="宋体" w:eastAsia="宋体" w:cs="宋体"/>
              </w:rPr>
              <w:t>1.在相对集中的时间和区域内，批号相对集中的同一药品引起临床表现相似的，且罕见或非预期的不良反应的人数超过30人 (含)，少于 50 人; 或者引起特别严重不良反应 (可能对人体造成永久性伤残、对器官功能造成永久性损伤或危及生命)的人数超过5人(含)，少于 10 人;</w:t>
            </w:r>
          </w:p>
          <w:p w14:paraId="02BE01F0">
            <w:pPr>
              <w:rPr>
                <w:rFonts w:ascii="宋体" w:hAnsi="宋体" w:eastAsia="宋体" w:cs="宋体"/>
              </w:rPr>
            </w:pPr>
            <w:r>
              <w:rPr>
                <w:rFonts w:hint="eastAsia" w:ascii="宋体" w:hAnsi="宋体" w:eastAsia="宋体" w:cs="宋体"/>
              </w:rPr>
              <w:t>2.同一批号药品短期内引起 2 人以上、5 人以下患者死亡，且在同一区域内同时出现其他类似病例;</w:t>
            </w:r>
          </w:p>
          <w:p w14:paraId="3517D611">
            <w:pPr>
              <w:rPr>
                <w:rFonts w:ascii="宋体" w:hAnsi="宋体" w:eastAsia="宋体" w:cs="宋体"/>
              </w:rPr>
            </w:pPr>
            <w:r>
              <w:rPr>
                <w:rFonts w:hint="eastAsia" w:ascii="宋体" w:hAnsi="宋体" w:eastAsia="宋体" w:cs="宋体"/>
              </w:rPr>
              <w:t>3.短期内1个省 (区、市) 内 2 个以上市因同一药品发生较大药品安全突发事件;</w:t>
            </w:r>
          </w:p>
          <w:p w14:paraId="35F48CF2">
            <w:pPr>
              <w:rPr>
                <w:rFonts w:ascii="宋体" w:hAnsi="宋体" w:eastAsia="宋体" w:cs="宋体"/>
              </w:rPr>
            </w:pPr>
            <w:r>
              <w:rPr>
                <w:rFonts w:hint="eastAsia" w:ascii="宋体" w:hAnsi="宋体" w:eastAsia="宋体" w:cs="宋体"/>
              </w:rPr>
              <w:t>4.其他危害严重的药品安全突发事件。</w:t>
            </w:r>
          </w:p>
        </w:tc>
        <w:tc>
          <w:tcPr>
            <w:tcW w:w="679" w:type="dxa"/>
            <w:vAlign w:val="center"/>
          </w:tcPr>
          <w:p w14:paraId="7C772B2D">
            <w:pPr>
              <w:jc w:val="center"/>
              <w:rPr>
                <w:rFonts w:ascii="宋体" w:hAnsi="宋体" w:eastAsia="宋体" w:cs="宋体"/>
                <w:szCs w:val="21"/>
              </w:rPr>
            </w:pPr>
            <w:r>
              <w:rPr>
                <w:rFonts w:hint="eastAsia" w:ascii="宋体" w:hAnsi="宋体" w:eastAsia="宋体" w:cs="宋体"/>
                <w:szCs w:val="21"/>
              </w:rPr>
              <w:t>Ⅱ级应急响应</w:t>
            </w:r>
          </w:p>
        </w:tc>
      </w:tr>
      <w:tr w14:paraId="1465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762476BA">
            <w:pPr>
              <w:jc w:val="center"/>
            </w:pPr>
            <w:r>
              <w:rPr>
                <w:rFonts w:hint="eastAsia"/>
              </w:rPr>
              <w:t>较大</w:t>
            </w:r>
          </w:p>
        </w:tc>
        <w:tc>
          <w:tcPr>
            <w:tcW w:w="7200" w:type="dxa"/>
            <w:vAlign w:val="center"/>
          </w:tcPr>
          <w:p w14:paraId="70A23B5C">
            <w:pPr>
              <w:jc w:val="left"/>
              <w:rPr>
                <w:rFonts w:ascii="宋体" w:hAnsi="宋体" w:eastAsia="宋体" w:cs="宋体"/>
              </w:rPr>
            </w:pPr>
            <w:r>
              <w:rPr>
                <w:rFonts w:hint="eastAsia" w:ascii="宋体" w:hAnsi="宋体" w:eastAsia="宋体" w:cs="宋体"/>
              </w:rPr>
              <w:t>符合下列情形之一的药品安全事件:</w:t>
            </w:r>
          </w:p>
          <w:p w14:paraId="14AC2815">
            <w:pPr>
              <w:jc w:val="left"/>
              <w:rPr>
                <w:rFonts w:ascii="宋体" w:hAnsi="宋体" w:eastAsia="宋体" w:cs="宋体"/>
              </w:rPr>
            </w:pPr>
            <w:r>
              <w:rPr>
                <w:rFonts w:hint="eastAsia" w:ascii="宋体" w:hAnsi="宋体" w:eastAsia="宋体" w:cs="宋体"/>
              </w:rPr>
              <w:t>1.在相对集中的时间和区域内，批号相对集中的同一药品引起临床表现相似的，且罕见或非预期的不良反应的人数超过20 人 (含)，少于 30 人;或者引起特别严重不良反应 (可能对人体造成永久性伤残、对器官功能造成永久性损伤或危及生命)的人数超过3人 (含)，少于 5人;</w:t>
            </w:r>
          </w:p>
          <w:p w14:paraId="0829FC81">
            <w:pPr>
              <w:jc w:val="left"/>
              <w:rPr>
                <w:rFonts w:ascii="宋体" w:hAnsi="宋体" w:eastAsia="宋体" w:cs="宋体"/>
              </w:rPr>
            </w:pPr>
            <w:r>
              <w:rPr>
                <w:rFonts w:hint="eastAsia" w:ascii="宋体" w:hAnsi="宋体" w:eastAsia="宋体" w:cs="宋体"/>
              </w:rPr>
              <w:t>2.同一批号药品短期内引起 2 人 (含) 以下患者死亡，且在同一区域内同时出现其他类似病例;</w:t>
            </w:r>
          </w:p>
          <w:p w14:paraId="5E028DDD">
            <w:pPr>
              <w:jc w:val="left"/>
              <w:rPr>
                <w:rFonts w:ascii="宋体" w:hAnsi="宋体" w:eastAsia="宋体" w:cs="宋体"/>
              </w:rPr>
            </w:pPr>
            <w:r>
              <w:rPr>
                <w:rFonts w:hint="eastAsia" w:ascii="宋体" w:hAnsi="宋体" w:eastAsia="宋体" w:cs="宋体"/>
              </w:rPr>
              <w:t>3.短期内1个市内 2 个以上县 (市、区) 因同一药品发生一般药品安全突发事件；</w:t>
            </w:r>
          </w:p>
          <w:p w14:paraId="76840C00">
            <w:pPr>
              <w:jc w:val="left"/>
              <w:rPr>
                <w:rFonts w:ascii="宋体" w:hAnsi="宋体" w:eastAsia="宋体" w:cs="宋体"/>
              </w:rPr>
            </w:pPr>
            <w:r>
              <w:rPr>
                <w:rFonts w:hint="eastAsia" w:ascii="宋体" w:hAnsi="宋体" w:eastAsia="宋体" w:cs="宋体"/>
              </w:rPr>
              <w:t>4.其他危害较大的药品安全突发事件。</w:t>
            </w:r>
          </w:p>
        </w:tc>
        <w:tc>
          <w:tcPr>
            <w:tcW w:w="679" w:type="dxa"/>
            <w:vAlign w:val="center"/>
          </w:tcPr>
          <w:p w14:paraId="6EB421CD">
            <w:pPr>
              <w:jc w:val="center"/>
              <w:rPr>
                <w:rFonts w:ascii="宋体" w:hAnsi="宋体" w:eastAsia="宋体" w:cs="宋体"/>
                <w:szCs w:val="21"/>
              </w:rPr>
            </w:pPr>
            <w:r>
              <w:rPr>
                <w:rFonts w:hint="eastAsia" w:ascii="宋体" w:hAnsi="宋体" w:eastAsia="宋体" w:cs="宋体"/>
                <w:szCs w:val="21"/>
              </w:rPr>
              <w:t>Ⅲ级应急响应</w:t>
            </w:r>
          </w:p>
        </w:tc>
      </w:tr>
      <w:tr w14:paraId="663E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2C7BC6D0">
            <w:pPr>
              <w:jc w:val="center"/>
            </w:pPr>
            <w:r>
              <w:rPr>
                <w:rFonts w:hint="eastAsia"/>
              </w:rPr>
              <w:t>一般</w:t>
            </w:r>
          </w:p>
        </w:tc>
        <w:tc>
          <w:tcPr>
            <w:tcW w:w="7200" w:type="dxa"/>
            <w:vAlign w:val="center"/>
          </w:tcPr>
          <w:p w14:paraId="11EF237E">
            <w:pPr>
              <w:jc w:val="left"/>
              <w:rPr>
                <w:rFonts w:ascii="宋体" w:hAnsi="宋体" w:eastAsia="宋体" w:cs="宋体"/>
              </w:rPr>
            </w:pPr>
            <w:r>
              <w:rPr>
                <w:rFonts w:hint="eastAsia" w:ascii="宋体" w:hAnsi="宋体" w:eastAsia="宋体" w:cs="宋体"/>
              </w:rPr>
              <w:t>符合下列情形之一的药品安全事件：</w:t>
            </w:r>
          </w:p>
          <w:p w14:paraId="2FD4591C">
            <w:pPr>
              <w:numPr>
                <w:ilvl w:val="0"/>
                <w:numId w:val="2"/>
              </w:numPr>
              <w:jc w:val="left"/>
              <w:rPr>
                <w:rFonts w:ascii="宋体" w:hAnsi="宋体" w:eastAsia="宋体" w:cs="宋体"/>
              </w:rPr>
            </w:pPr>
            <w:r>
              <w:rPr>
                <w:rFonts w:hint="eastAsia" w:ascii="宋体" w:hAnsi="宋体" w:eastAsia="宋体" w:cs="宋体"/>
              </w:rPr>
              <w:t>在相对集中的时间和区域内，批号相对集中的同一药品引起临床表现相似的，且罕见或非预期的不良反应的人数超过10 人 (含)，少于 20 人；或者引起特别严重不良反应 (可能对人体造成永久性伤残、对器官功能造成永久性损伤或危及生命) 的人数超过 2人 (含)，少于 3人;</w:t>
            </w:r>
          </w:p>
          <w:p w14:paraId="19AD06F9">
            <w:pPr>
              <w:numPr>
                <w:ilvl w:val="0"/>
                <w:numId w:val="2"/>
              </w:numPr>
              <w:jc w:val="left"/>
              <w:rPr>
                <w:rFonts w:ascii="宋体" w:hAnsi="宋体" w:eastAsia="宋体" w:cs="宋体"/>
              </w:rPr>
            </w:pPr>
            <w:r>
              <w:rPr>
                <w:rFonts w:hint="eastAsia" w:ascii="宋体" w:hAnsi="宋体" w:eastAsia="宋体" w:cs="宋体"/>
              </w:rPr>
              <w:t>其他一般药品安全突发事件。</w:t>
            </w:r>
          </w:p>
        </w:tc>
        <w:tc>
          <w:tcPr>
            <w:tcW w:w="679" w:type="dxa"/>
            <w:vAlign w:val="center"/>
          </w:tcPr>
          <w:p w14:paraId="6D600AEE">
            <w:pPr>
              <w:jc w:val="center"/>
              <w:rPr>
                <w:rFonts w:ascii="宋体" w:hAnsi="宋体" w:eastAsia="宋体" w:cs="宋体"/>
                <w:szCs w:val="21"/>
              </w:rPr>
            </w:pPr>
            <w:r>
              <w:rPr>
                <w:rFonts w:hint="eastAsia" w:ascii="宋体" w:hAnsi="宋体" w:eastAsia="宋体" w:cs="宋体"/>
                <w:szCs w:val="21"/>
              </w:rPr>
              <w:t>Ⅳ级应急响应</w:t>
            </w:r>
          </w:p>
        </w:tc>
      </w:tr>
    </w:tbl>
    <w:p w14:paraId="5553106E"/>
    <w:p w14:paraId="3E2C29EA">
      <w:pPr>
        <w:rPr>
          <w:rFonts w:ascii="宋体" w:hAnsi="宋体" w:eastAsia="宋体" w:cs="宋体"/>
          <w:sz w:val="28"/>
          <w:szCs w:val="28"/>
        </w:rPr>
      </w:pPr>
      <w:r>
        <w:rPr>
          <w:rFonts w:hint="eastAsia" w:ascii="仿宋" w:hAnsi="仿宋" w:eastAsia="仿宋" w:cs="仿宋"/>
          <w:sz w:val="30"/>
          <w:szCs w:val="30"/>
        </w:rPr>
        <w:br w:type="page"/>
      </w:r>
    </w:p>
    <w:p w14:paraId="53BCC646">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药品安全突发事件报送资料明细</w:t>
      </w:r>
    </w:p>
    <w:p w14:paraId="3104EC59">
      <w:pPr>
        <w:ind w:firstLine="600" w:firstLineChars="200"/>
        <w:rPr>
          <w:rFonts w:ascii="仿宋" w:hAnsi="仿宋" w:eastAsia="仿宋" w:cs="仿宋"/>
          <w:sz w:val="30"/>
          <w:szCs w:val="30"/>
        </w:rPr>
      </w:pPr>
      <w:r>
        <w:rPr>
          <w:rFonts w:hint="eastAsia" w:ascii="仿宋" w:hAnsi="仿宋" w:eastAsia="仿宋" w:cs="仿宋"/>
          <w:sz w:val="30"/>
          <w:szCs w:val="30"/>
        </w:rPr>
        <w:t>一、事件发生、发展、处理等相关情况;</w:t>
      </w:r>
    </w:p>
    <w:p w14:paraId="79B36202">
      <w:pPr>
        <w:ind w:firstLine="600" w:firstLineChars="200"/>
        <w:rPr>
          <w:rFonts w:ascii="仿宋" w:hAnsi="仿宋" w:eastAsia="仿宋" w:cs="仿宋"/>
          <w:sz w:val="30"/>
          <w:szCs w:val="30"/>
        </w:rPr>
      </w:pPr>
      <w:r>
        <w:rPr>
          <w:rFonts w:hint="eastAsia" w:ascii="仿宋" w:hAnsi="仿宋" w:eastAsia="仿宋" w:cs="仿宋"/>
          <w:sz w:val="30"/>
          <w:szCs w:val="30"/>
        </w:rPr>
        <w:t>二、药品的生产证明文件;</w:t>
      </w:r>
    </w:p>
    <w:p w14:paraId="26932629">
      <w:pPr>
        <w:ind w:firstLine="600" w:firstLineChars="200"/>
        <w:rPr>
          <w:rFonts w:ascii="仿宋" w:hAnsi="仿宋" w:eastAsia="仿宋" w:cs="仿宋"/>
          <w:sz w:val="30"/>
          <w:szCs w:val="30"/>
        </w:rPr>
      </w:pPr>
      <w:r>
        <w:rPr>
          <w:rFonts w:hint="eastAsia" w:ascii="仿宋" w:hAnsi="仿宋" w:eastAsia="仿宋" w:cs="仿宋"/>
          <w:sz w:val="30"/>
          <w:szCs w:val="30"/>
        </w:rPr>
        <w:t>三、药品的产品注册备案证明文件;</w:t>
      </w:r>
    </w:p>
    <w:p w14:paraId="6A935796">
      <w:pPr>
        <w:ind w:firstLine="600" w:firstLineChars="200"/>
        <w:rPr>
          <w:rFonts w:ascii="仿宋" w:hAnsi="仿宋" w:eastAsia="仿宋" w:cs="仿宋"/>
          <w:sz w:val="30"/>
          <w:szCs w:val="30"/>
        </w:rPr>
      </w:pPr>
      <w:r>
        <w:rPr>
          <w:rFonts w:hint="eastAsia" w:ascii="仿宋" w:hAnsi="仿宋" w:eastAsia="仿宋" w:cs="仿宋"/>
          <w:sz w:val="30"/>
          <w:szCs w:val="30"/>
        </w:rPr>
        <w:t>四、药品的标签、说明书;</w:t>
      </w:r>
    </w:p>
    <w:p w14:paraId="4EA12C85">
      <w:pPr>
        <w:ind w:firstLine="600" w:firstLineChars="200"/>
        <w:rPr>
          <w:rFonts w:ascii="仿宋" w:hAnsi="仿宋" w:eastAsia="仿宋" w:cs="仿宋"/>
          <w:sz w:val="30"/>
          <w:szCs w:val="30"/>
        </w:rPr>
      </w:pPr>
      <w:r>
        <w:rPr>
          <w:rFonts w:hint="eastAsia" w:ascii="仿宋" w:hAnsi="仿宋" w:eastAsia="仿宋" w:cs="仿宋"/>
          <w:sz w:val="30"/>
          <w:szCs w:val="30"/>
        </w:rPr>
        <w:t>五、质量检验报告;</w:t>
      </w:r>
    </w:p>
    <w:p w14:paraId="4953BDB5">
      <w:pPr>
        <w:ind w:firstLine="600" w:firstLineChars="200"/>
        <w:rPr>
          <w:rFonts w:ascii="仿宋" w:hAnsi="仿宋" w:eastAsia="仿宋" w:cs="仿宋"/>
          <w:sz w:val="30"/>
          <w:szCs w:val="30"/>
        </w:rPr>
      </w:pPr>
      <w:r>
        <w:rPr>
          <w:rFonts w:hint="eastAsia" w:ascii="仿宋" w:hAnsi="仿宋" w:eastAsia="仿宋" w:cs="仿宋"/>
          <w:sz w:val="30"/>
          <w:szCs w:val="30"/>
        </w:rPr>
        <w:t>六、法定质量标准;</w:t>
      </w:r>
    </w:p>
    <w:p w14:paraId="6C942945">
      <w:pPr>
        <w:ind w:firstLine="600" w:firstLineChars="200"/>
        <w:rPr>
          <w:rFonts w:ascii="仿宋" w:hAnsi="仿宋" w:eastAsia="仿宋" w:cs="仿宋"/>
          <w:sz w:val="30"/>
          <w:szCs w:val="30"/>
        </w:rPr>
      </w:pPr>
      <w:r>
        <w:rPr>
          <w:rFonts w:hint="eastAsia" w:ascii="仿宋" w:hAnsi="仿宋" w:eastAsia="仿宋" w:cs="仿宋"/>
          <w:sz w:val="30"/>
          <w:szCs w:val="30"/>
        </w:rPr>
        <w:t>七、国内外相关药品安全性研究情况，不良反应发生情况，包括文献报道;</w:t>
      </w:r>
    </w:p>
    <w:p w14:paraId="7DF66E9E">
      <w:pPr>
        <w:ind w:firstLine="600" w:firstLineChars="200"/>
        <w:rPr>
          <w:rFonts w:ascii="仿宋" w:hAnsi="仿宋" w:eastAsia="仿宋" w:cs="仿宋"/>
          <w:sz w:val="30"/>
          <w:szCs w:val="30"/>
        </w:rPr>
      </w:pPr>
      <w:r>
        <w:rPr>
          <w:rFonts w:hint="eastAsia" w:ascii="仿宋" w:hAnsi="仿宋" w:eastAsia="仿宋" w:cs="仿宋"/>
          <w:sz w:val="30"/>
          <w:szCs w:val="30"/>
        </w:rPr>
        <w:t>八、典型病例按《药品不良反应报告和监测管理办法》(中华人民共和国卫生部令第 81号) 要求填写《药品不良反应报告表》;</w:t>
      </w:r>
    </w:p>
    <w:p w14:paraId="41AC90DE">
      <w:pPr>
        <w:ind w:firstLine="600" w:firstLineChars="200"/>
        <w:rPr>
          <w:rFonts w:ascii="仿宋" w:hAnsi="仿宋" w:eastAsia="仿宋" w:cs="仿宋"/>
          <w:sz w:val="30"/>
          <w:szCs w:val="30"/>
        </w:rPr>
      </w:pPr>
      <w:r>
        <w:rPr>
          <w:rFonts w:hint="eastAsia" w:ascii="仿宋" w:hAnsi="仿宋" w:eastAsia="仿宋" w:cs="仿宋"/>
          <w:sz w:val="30"/>
          <w:szCs w:val="30"/>
        </w:rPr>
        <w:t>九、报告人及联系电话。</w:t>
      </w:r>
    </w:p>
    <w:p w14:paraId="42004630">
      <w:pPr>
        <w:ind w:firstLine="600" w:firstLineChars="200"/>
        <w:rPr>
          <w:rFonts w:ascii="仿宋" w:hAnsi="仿宋" w:eastAsia="仿宋" w:cs="仿宋"/>
          <w:sz w:val="30"/>
          <w:szCs w:val="30"/>
        </w:rPr>
      </w:pPr>
    </w:p>
    <w:p w14:paraId="0A759C33"/>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C51C2"/>
    <w:multiLevelType w:val="singleLevel"/>
    <w:tmpl w:val="00DC51C2"/>
    <w:lvl w:ilvl="0" w:tentative="0">
      <w:start w:val="1"/>
      <w:numFmt w:val="decimal"/>
      <w:lvlText w:val="%1."/>
      <w:lvlJc w:val="left"/>
      <w:pPr>
        <w:tabs>
          <w:tab w:val="left" w:pos="312"/>
        </w:tabs>
      </w:pPr>
    </w:lvl>
  </w:abstractNum>
  <w:abstractNum w:abstractNumId="1">
    <w:nsid w:val="04927B81"/>
    <w:multiLevelType w:val="singleLevel"/>
    <w:tmpl w:val="04927B8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NTgwMDdlYjgwN2UxNGZhNTZkMjQ0MTg0NmU1NzYifQ=="/>
  </w:docVars>
  <w:rsids>
    <w:rsidRoot w:val="5EEF3514"/>
    <w:rsid w:val="5EEF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2024-09-18T02:44:00Z</dcterms:created>
  <dc:creator>NTKO</dc:creator>
  <cp:lastModifiedBy>NTKO</cp:lastModifiedBy>
  <dcterms:modified xsi:type="dcterms:W3CDTF">2024-09-18T02:48:48Z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5FC736A402ED42D08B84594F99EFD08D_11</vt:lpwstr>
  </property>
</Properties>
</file>