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h="1689" w:hRule="exact"/>
        <w:pBdr>
          <w:top w:val="none" w:color="auto" w:sz="0" w:space="0"/>
          <w:left w:val="none" w:color="auto" w:sz="0" w:space="0"/>
          <w:bottom w:val="none" w:color="auto" w:sz="0" w:space="0"/>
          <w:right w:val="none" w:color="auto" w:sz="0" w:space="0"/>
        </w:pBdr>
        <w:rPr>
          <w:rFonts w:hint="eastAsia" w:hAnsi="黑体" w:cs="黑体"/>
          <w:lang w:val="en-US" w:eastAsia="zh-CN"/>
        </w:rPr>
      </w:pPr>
      <w:r>
        <w:rPr>
          <w:rFonts w:hint="eastAsia" w:ascii="黑体" w:hAnsi="黑体" w:eastAsia="黑体" w:cs="黑体"/>
        </w:rPr>
        <w:t>ICS 67.060</w:t>
      </w:r>
    </w:p>
    <w:p>
      <w:pPr>
        <w:pStyle w:val="5"/>
        <w:framePr w:h="1689" w:hRule="exact"/>
        <w:pBdr>
          <w:top w:val="none" w:color="auto" w:sz="0" w:space="0"/>
          <w:left w:val="none" w:color="auto" w:sz="0" w:space="0"/>
          <w:bottom w:val="none" w:color="auto" w:sz="0" w:space="0"/>
          <w:right w:val="none" w:color="auto" w:sz="0" w:space="0"/>
        </w:pBdr>
        <w:rPr>
          <w:rFonts w:hint="eastAsia" w:ascii="黑体" w:hAnsi="黑体" w:eastAsia="黑体" w:cs="黑体"/>
          <w:lang w:val="en-US" w:eastAsia="zh-CN"/>
        </w:rPr>
      </w:pPr>
      <w:r>
        <w:rPr>
          <w:rFonts w:hint="eastAsia" w:ascii="黑体" w:hAnsi="黑体" w:eastAsia="黑体" w:cs="黑体"/>
        </w:rPr>
        <w:t>CCS B22</w:t>
      </w:r>
    </w:p>
    <w:p>
      <w:pPr>
        <w:pStyle w:val="5"/>
        <w:framePr w:h="1689" w:hRule="exact"/>
        <w:rPr>
          <w:rFonts w:hint="default" w:ascii="黑体" w:hAnsi="黑体" w:eastAsia="黑体" w:cs="黑体"/>
          <w:sz w:val="84"/>
          <w:szCs w:val="84"/>
          <w:lang w:val="en-US" w:eastAsia="zh-CN"/>
        </w:rPr>
      </w:pPr>
      <w:r>
        <w:rPr>
          <w:rFonts w:hint="eastAsia" w:hAnsi="黑体" w:cs="黑体"/>
          <w:lang w:val="en-US" w:eastAsia="zh-CN"/>
        </w:rPr>
        <w:t xml:space="preserve">                                      </w:t>
      </w:r>
      <w:r>
        <w:rPr>
          <w:rFonts w:hint="eastAsia" w:hAnsi="黑体" w:cs="黑体"/>
          <w:sz w:val="84"/>
          <w:szCs w:val="84"/>
          <w:lang w:val="en-US" w:eastAsia="zh-CN"/>
        </w:rPr>
        <w:t xml:space="preserve">     </w:t>
      </w:r>
      <w:r>
        <w:rPr>
          <w:sz w:val="8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8520" cy="7861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38520"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61.9pt;width:467.6pt;z-index:251661312;mso-width-relative:page;mso-height-relative:page;" filled="f" stroked="f" coordsize="21600,21600" o:gfxdata="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ouJyNYAAAAFAQAADwAAAAAAAAABACAAAAAiAAAAZHJzL2Rv&#10;d25yZXYueG1sUEsBAhQAFAAAAAgAh07iQJppj2w8AgAAZgQAAA4AAAAAAAAAAQAgAAAAJQEAAGRy&#10;cy9lMm9Eb2MueG1sUEsFBgAAAAAGAAYAWQEAANMFAAAAAA==&#10;">
                <v:fill on="f" focussize="0,0"/>
                <v:stroke on="f" weight="0.5pt"/>
                <v:imagedata o:title=""/>
                <o:lock v:ext="edit" aspectratio="f"/>
                <v:textbox>
                  <w:txbxContent>
                    <w:p>
                      <w:pPr>
                        <w:rPr>
                          <w:rFonts w:hint="default" w:eastAsia="宋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方正小标宋简体" w:hAnsi="方正小标宋简体" w:eastAsia="方正小标宋简体" w:cs="方正小标宋简体"/>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DB2105</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b/>
                          <w:bCs/>
                          <w:color w:val="000000" w:themeColor="text1"/>
                          <w:sz w:val="72"/>
                          <w:szCs w:val="7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DB210500</w:t>
                      </w:r>
                    </w:p>
                  </w:txbxContent>
                </v:textbox>
              </v:shape>
            </w:pict>
          </mc:Fallback>
        </mc:AlternateConten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5"/>
              <w:framePr w:h="1689" w:hRule="exact"/>
              <w:rPr>
                <w:rFonts w:hint="default" w:eastAsia="黑体"/>
                <w:lang w:val="en-US" w:eastAsia="zh-CN"/>
              </w:rPr>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lang w:val="en-US" w:eastAsia="zh-CN"/>
              </w:rPr>
              <w:t xml:space="preserve">                                              </w:t>
            </w:r>
          </w:p>
        </w:tc>
      </w:tr>
    </w:tbl>
    <w:p>
      <w:pPr>
        <w:pStyle w:val="6"/>
        <w:framePr w:w="8478" w:x="1920" w:y="1561"/>
        <w:rPr>
          <w:rFonts w:hint="default"/>
          <w:sz w:val="100"/>
          <w:szCs w:val="100"/>
          <w:lang w:val="en-US" w:eastAsia="zh-CN"/>
        </w:rPr>
      </w:pPr>
      <w:r>
        <w:rPr>
          <w:rFonts w:hint="eastAsia"/>
          <w:sz w:val="100"/>
          <w:szCs w:val="100"/>
          <w:lang w:val="en-US" w:eastAsia="zh-CN"/>
        </w:rPr>
        <w:t xml:space="preserve">      </w:t>
      </w:r>
    </w:p>
    <w:p>
      <w:pPr>
        <w:pStyle w:val="6"/>
        <w:framePr w:w="8478" w:x="1920" w:y="1561"/>
        <w:rPr>
          <w:rFonts w:hint="eastAsia" w:ascii="Times New Roman" w:hAnsi="Times New Roman" w:eastAsia="黑体"/>
          <w:sz w:val="72"/>
          <w:szCs w:val="72"/>
          <w:lang w:eastAsia="zh-CN"/>
        </w:rPr>
      </w:pPr>
      <w:r>
        <w:rPr>
          <w:rFonts w:hint="eastAsia"/>
          <w:sz w:val="72"/>
          <w:szCs w:val="72"/>
          <w:lang w:eastAsia="zh-CN"/>
        </w:rPr>
        <w:t>本溪市地方标准</w:t>
      </w:r>
    </w:p>
    <w:p>
      <w:pPr>
        <w:pStyle w:val="7"/>
        <w:jc w:val="center"/>
        <w:rPr>
          <w:rFonts w:hint="eastAsia"/>
          <w:lang w:eastAsia="zh-CN"/>
        </w:rPr>
      </w:pPr>
      <w:bookmarkStart w:id="44" w:name="_GoBack"/>
      <w:bookmarkEnd w:id="44"/>
    </w:p>
    <w:p>
      <w:pPr>
        <w:pStyle w:val="7"/>
        <w:ind w:firstLine="3120" w:firstLineChars="600"/>
        <w:jc w:val="both"/>
        <w:rPr>
          <w:rFonts w:hint="eastAsia"/>
          <w:lang w:val="en-US" w:eastAsia="zh-CN"/>
        </w:rPr>
      </w:pPr>
      <w:r>
        <w:rPr>
          <w:rFonts w:hint="eastAsia"/>
          <w:lang w:val="en-US" w:eastAsia="zh-CN"/>
        </w:rPr>
        <w:t>本溪老红根小米</w:t>
      </w:r>
    </w:p>
    <w:p>
      <w:pPr>
        <w:pStyle w:val="7"/>
        <w:jc w:val="center"/>
        <w:rPr>
          <w:rFonts w:hint="default"/>
          <w:lang w:val="en-US"/>
        </w:rPr>
      </w:pPr>
      <w:r>
        <w:rPr>
          <w:rFonts w:hint="eastAsia" w:cs="Times New Roman"/>
          <w:lang w:val="en-US" w:eastAsia="zh-CN"/>
        </w:rPr>
        <w:t>Benxi Old Red Root Millet</w:t>
      </w:r>
    </w:p>
    <w:p>
      <w:pPr>
        <w:pStyle w:val="8"/>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报批稿</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1"/>
              <w:rPr>
                <w:rFonts w:hint="eastAsia"/>
              </w:rPr>
            </w:pPr>
          </w:p>
        </w:tc>
      </w:tr>
    </w:tbl>
    <w:p>
      <w:pPr>
        <w:pStyle w:val="12"/>
      </w:pPr>
      <w:r>
        <w:rPr>
          <w:rFonts w:hint="eastAsia" w:ascii="黑体"/>
          <w:lang w:val="en-US" w:eastAsia="zh-CN"/>
        </w:rPr>
        <w:t>2023</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hjKZj0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nZ8DlnDiw1/Pbz&#10;j1+fvt79/ELr7fdvbJ5FGgLWFHvt1vG4w7COmfG+jTb/iQvbF2EPJ2HVPjFBh5czYvecNBf3vurh&#10;YoiYXitvWTYabrTLnKGG3RtMlIxC70PysXFsaPjLi/kFwQENYEuNJ9MGIoGuK3fRGy1vtDH5BsZu&#10;c20i20EegvJlSoT7V1hOsgLsx7jiGsejVyBfOcnSIZA8jl4FzyVYJTkzih5RtggQ6gTanBNJqY2j&#10;CrKqo47Z2nh5oGZsQ9RdT0rMSpXZQ80v9R4H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hjKZj0AQAA5AMAAA4AAAAAAAAAAQAgAAAAJQEAAGRycy9lMm9Eb2MueG1sUEsF&#10;BgAAAAAGAAYAWQEAAIsFAAAAAA==&#10;">
                <v:fill on="f" focussize="0,0"/>
                <v:stroke color="#000000" joinstyle="round"/>
                <v:imagedata o:title=""/>
                <o:lock v:ext="edit" aspectratio="f"/>
                <w10:anchorlock/>
              </v:line>
            </w:pict>
          </mc:Fallback>
        </mc:AlternateContent>
      </w:r>
    </w:p>
    <w:p>
      <w:pPr>
        <w:pStyle w:val="14"/>
        <w:jc w:val="center"/>
      </w:pPr>
      <w:r>
        <w:rPr>
          <w:rFonts w:hint="eastAsia" w:ascii="黑体"/>
          <w:lang w:val="en-US" w:eastAsia="zh-CN"/>
        </w:rPr>
        <w:t xml:space="preserve">          2023</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16"/>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lang w:eastAsia="zh-CN"/>
        </w:rPr>
        <w:t>本溪市</w:t>
      </w:r>
      <w:r>
        <w:rPr>
          <w:rFonts w:ascii="Times New Roman"/>
        </w:rPr>
        <w:t>市场监督管理局</w:t>
      </w:r>
      <w:r>
        <w:rPr>
          <w:rFonts w:ascii="Times New Roman"/>
        </w:rPr>
        <w:fldChar w:fldCharType="end"/>
      </w:r>
      <w:r>
        <w:rPr>
          <w:rFonts w:ascii="Times New Roman" w:eastAsia="MS Mincho"/>
        </w:rPr>
        <w:t>   </w:t>
      </w:r>
      <w:r>
        <w:rPr>
          <w:rStyle w:val="19"/>
          <w:rFonts w:ascii="Times New Roman"/>
        </w:rPr>
        <w:t>发布</w:t>
      </w:r>
    </w:p>
    <w:p>
      <w:pPr>
        <w:pStyle w:val="20"/>
        <w:framePr w:x="1748" w:y="3975"/>
        <w:wordWrap w:val="0"/>
        <w:rPr>
          <w:rFonts w:hint="default" w:ascii="黑体" w:hAnsi="黑体" w:eastAsia="黑体" w:cs="黑体"/>
          <w:lang w:val="en-US" w:eastAsia="zh-CN"/>
        </w:rPr>
      </w:pPr>
      <w:r>
        <w:rPr>
          <w:rFonts w:hint="eastAsia" w:ascii="黑体" w:hAnsi="黑体" w:eastAsia="黑体" w:cs="黑体"/>
          <w:lang w:val="en-US" w:eastAsia="zh-CN"/>
        </w:rPr>
        <w:t>DB2105</w:t>
      </w:r>
      <w:r>
        <w:rPr>
          <w:rFonts w:hint="eastAsia" w:ascii="黑体" w:hAnsi="黑体" w:eastAsia="黑体" w:cs="黑体"/>
        </w:rPr>
        <w:t>/</w:t>
      </w:r>
      <w:r>
        <w:rPr>
          <w:rFonts w:hint="eastAsia" w:ascii="黑体" w:hAnsi="黑体" w:eastAsia="黑体" w:cs="黑体"/>
          <w:lang w:val="en-US" w:eastAsia="zh-CN"/>
        </w:rPr>
        <w:t>T</w:t>
      </w:r>
      <w:r>
        <w:rPr>
          <w:rFonts w:hint="eastAsia" w:hAnsi="黑体" w:cs="黑体"/>
          <w:lang w:val="en-US" w:eastAsia="zh-CN"/>
        </w:rPr>
        <w:t xml:space="preserve"> xxx</w:t>
      </w:r>
      <w:r>
        <w:rPr>
          <w:rFonts w:hint="eastAsia" w:ascii="黑体" w:hAnsi="黑体" w:eastAsia="黑体" w:cs="黑体"/>
        </w:rPr>
        <w:t>—</w:t>
      </w:r>
      <w:r>
        <w:rPr>
          <w:rFonts w:hint="eastAsia" w:hAnsi="黑体" w:cs="黑体"/>
          <w:lang w:val="en-US" w:eastAsia="zh-CN"/>
        </w:rPr>
        <w:t>2023</w:t>
      </w:r>
    </w:p>
    <w:p>
      <w:pPr>
        <w:pStyle w:val="18"/>
        <w:rPr>
          <w:rFonts w:hint="eastAsia"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2759075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17.25pt;height:0pt;width:481.9pt;z-index:251660288;mso-width-relative:page;mso-height-relative:page;" filled="f" stroked="t" coordsize="21600,21600" o:gfxdata="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oSHt3XAAAACQEAAA8AAAAAAAAAAQAgAAAAIgAAAGRycy9kb3ducmV2LnhtbFBLAQIU&#10;ABQAAAAIAIdO4kCpCE319AEAAOQDAAAOAAAAAAAAAAEAIAAAACYBAABkcnMvZTJvRG9jLnhtbFBL&#10;BQYAAAAABgAGAFkBAACMBQAAAAA=&#10;">
                <v:fill on="f" focussize="0,0"/>
                <v:stroke color="#000000" joinstyle="round"/>
                <v:imagedata o:title=""/>
                <o:lock v:ext="edit" aspectratio="f"/>
              </v:line>
            </w:pict>
          </mc:Fallback>
        </mc:AlternateContent>
      </w:r>
    </w:p>
    <w:p>
      <w:pPr>
        <w:pStyle w:val="18"/>
        <w:ind w:firstLine="640"/>
        <w:jc w:val="center"/>
        <w:rPr>
          <w:rFonts w:hint="eastAsia" w:ascii="黑体" w:hAnsi="黑体" w:eastAsia="黑体"/>
          <w:sz w:val="32"/>
          <w:szCs w:val="32"/>
        </w:rPr>
      </w:pPr>
      <w:bookmarkStart w:id="1" w:name="_Toc75855930"/>
      <w:bookmarkStart w:id="2" w:name="_Toc72853263"/>
      <w:bookmarkStart w:id="3" w:name="_Toc75855831"/>
      <w:bookmarkStart w:id="4" w:name="_Toc75855893"/>
      <w:r>
        <w:rPr>
          <w:rFonts w:hint="eastAsia" w:ascii="黑体" w:hAnsi="黑体" w:eastAsia="黑体"/>
          <w:sz w:val="32"/>
          <w:szCs w:val="32"/>
        </w:rPr>
        <w:t>前</w:t>
      </w:r>
      <w:bookmarkStart w:id="5" w:name="BKQY"/>
      <w:r>
        <w:rPr>
          <w:rFonts w:ascii="黑体" w:hAnsi="黑体" w:eastAsia="黑体"/>
          <w:sz w:val="32"/>
          <w:szCs w:val="32"/>
        </w:rPr>
        <w:t>  </w:t>
      </w:r>
      <w:r>
        <w:rPr>
          <w:rFonts w:hint="eastAsia" w:ascii="黑体" w:hAnsi="黑体" w:eastAsia="黑体"/>
          <w:sz w:val="32"/>
          <w:szCs w:val="32"/>
        </w:rPr>
        <w:t>言</w:t>
      </w:r>
      <w:bookmarkEnd w:id="1"/>
      <w:bookmarkEnd w:id="2"/>
      <w:bookmarkEnd w:id="3"/>
      <w:bookmarkEnd w:id="4"/>
      <w:bookmarkEnd w:id="5"/>
    </w:p>
    <w:p>
      <w:pPr>
        <w:pStyle w:val="18"/>
        <w:jc w:val="center"/>
        <w:rPr>
          <w:rFonts w:hint="eastAsia" w:ascii="黑体" w:hAnsi="黑体" w:eastAsia="黑体"/>
        </w:rPr>
      </w:pPr>
    </w:p>
    <w:p>
      <w:pPr>
        <w:pStyle w:val="18"/>
        <w:ind w:firstLine="0" w:firstLineChars="0"/>
        <w:rPr>
          <w:rFonts w:hint="eastAsia" w:ascii="黑体" w:hAnsi="黑体" w:eastAsia="黑体"/>
        </w:rPr>
      </w:pP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本文件按照GB/T 1.1-2020《标准化工作导则 第1部分：标准化文件的结构和起草规则》的规定起草。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请注意本文件的某些内容可能涉及专利。本文件的发布机构不承担识别专利的责任。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本文件</w:t>
      </w:r>
      <w:r>
        <w:rPr>
          <w:rFonts w:hint="eastAsia" w:ascii="宋体" w:hAnsi="宋体" w:cs="宋体"/>
          <w:color w:val="000000"/>
          <w:kern w:val="0"/>
          <w:sz w:val="21"/>
          <w:szCs w:val="21"/>
          <w:lang w:val="en-US" w:eastAsia="zh-CN" w:bidi="ar"/>
        </w:rPr>
        <w:t>由本溪</w:t>
      </w:r>
      <w:r>
        <w:rPr>
          <w:rFonts w:hint="eastAsia"/>
          <w:lang w:eastAsia="zh-CN"/>
        </w:rPr>
        <w:t>市市场监督管理局</w:t>
      </w:r>
      <w:r>
        <w:rPr>
          <w:rFonts w:hint="eastAsia" w:ascii="宋体" w:hAnsi="宋体" w:eastAsia="宋体" w:cs="宋体"/>
          <w:color w:val="000000"/>
          <w:kern w:val="0"/>
          <w:sz w:val="21"/>
          <w:szCs w:val="21"/>
          <w:lang w:val="en-US" w:eastAsia="zh-CN" w:bidi="ar"/>
        </w:rPr>
        <w:t>提出</w:t>
      </w:r>
      <w:r>
        <w:rPr>
          <w:rFonts w:hint="eastAsia" w:ascii="宋体" w:hAnsi="宋体" w:cs="宋体"/>
          <w:color w:val="000000"/>
          <w:kern w:val="0"/>
          <w:sz w:val="21"/>
          <w:szCs w:val="21"/>
          <w:lang w:val="en-US" w:eastAsia="zh-CN" w:bidi="ar"/>
        </w:rPr>
        <w:t>。</w:t>
      </w: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本文件由本溪</w:t>
      </w:r>
      <w:r>
        <w:rPr>
          <w:rFonts w:hint="eastAsia"/>
          <w:lang w:eastAsia="zh-CN"/>
        </w:rPr>
        <w:t>市</w:t>
      </w:r>
      <w:r>
        <w:rPr>
          <w:rFonts w:hint="eastAsia" w:ascii="宋体" w:hAnsi="宋体" w:eastAsia="宋体" w:cs="宋体"/>
          <w:color w:val="000000"/>
          <w:kern w:val="0"/>
          <w:sz w:val="21"/>
          <w:szCs w:val="21"/>
          <w:lang w:val="en-US" w:eastAsia="zh-CN" w:bidi="ar"/>
        </w:rPr>
        <w:t>农业农村局归口。</w:t>
      </w:r>
    </w:p>
    <w:p>
      <w:pPr>
        <w:keepNext w:val="0"/>
        <w:keepLines w:val="0"/>
        <w:widowControl/>
        <w:suppressLineNumbers w:val="0"/>
        <w:ind w:firstLine="420" w:firstLineChars="200"/>
        <w:jc w:val="left"/>
        <w:rPr>
          <w:rFonts w:hint="eastAsia" w:eastAsia="宋体"/>
          <w:sz w:val="21"/>
          <w:szCs w:val="21"/>
          <w:lang w:val="en-US" w:eastAsia="zh-CN"/>
        </w:rPr>
      </w:pPr>
      <w:r>
        <w:rPr>
          <w:rFonts w:hint="eastAsia" w:ascii="宋体" w:hAnsi="宋体" w:eastAsia="宋体" w:cs="宋体"/>
          <w:color w:val="000000"/>
          <w:kern w:val="0"/>
          <w:sz w:val="21"/>
          <w:szCs w:val="21"/>
          <w:lang w:val="en-US" w:eastAsia="zh-CN" w:bidi="ar"/>
        </w:rPr>
        <w:t>本文件起草单位：</w:t>
      </w: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i w:val="0"/>
          <w:color w:val="000000"/>
          <w:kern w:val="0"/>
          <w:sz w:val="21"/>
          <w:szCs w:val="21"/>
          <w:u w:val="none"/>
          <w:lang w:val="en-US" w:eastAsia="zh-CN" w:bidi="ar"/>
        </w:rPr>
        <w:t>本溪市个体私营经济组织联合会</w:t>
      </w:r>
      <w:r>
        <w:rPr>
          <w:rFonts w:hint="eastAsia" w:ascii="宋体" w:hAnsi="宋体" w:eastAsia="宋体" w:cs="宋体"/>
          <w:color w:val="000000"/>
          <w:kern w:val="0"/>
          <w:sz w:val="21"/>
          <w:szCs w:val="21"/>
          <w:lang w:val="en-US" w:eastAsia="zh-CN" w:bidi="ar"/>
        </w:rPr>
        <w:t>。</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本文件主要起草人：</w:t>
      </w:r>
      <w:r>
        <w:rPr>
          <w:rFonts w:hint="eastAsia"/>
          <w:sz w:val="21"/>
          <w:szCs w:val="21"/>
          <w:lang w:eastAsia="zh-CN"/>
        </w:rPr>
        <w:t>武佩坤、赵伟东、马艺轩。</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本文件发布实施后，任何单位和个人如有问题和意见建议，均可以通过来电和来函等方式进行反馈，我们将及时答复并认真处理，根据实际情况依法进行评估及复审。联系方式如下：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cstheme="minorEastAsia"/>
          <w:sz w:val="21"/>
          <w:szCs w:val="21"/>
          <w:lang w:eastAsia="zh-CN"/>
        </w:rPr>
        <w:t>本溪满族自治县武兴农牧场（</w:t>
      </w:r>
      <w:r>
        <w:rPr>
          <w:rFonts w:hint="eastAsia" w:ascii="宋体" w:hAnsi="宋体" w:eastAsia="宋体" w:cs="宋体"/>
          <w:color w:val="000000"/>
          <w:kern w:val="0"/>
          <w:sz w:val="21"/>
          <w:szCs w:val="21"/>
          <w:lang w:val="en-US" w:eastAsia="zh-CN" w:bidi="ar"/>
        </w:rPr>
        <w:t>本溪</w:t>
      </w:r>
      <w:r>
        <w:rPr>
          <w:rFonts w:hint="eastAsia" w:ascii="宋体" w:hAnsi="宋体" w:cs="宋体"/>
          <w:color w:val="000000"/>
          <w:kern w:val="0"/>
          <w:sz w:val="21"/>
          <w:szCs w:val="21"/>
          <w:lang w:val="en-US" w:eastAsia="zh-CN" w:bidi="ar"/>
        </w:rPr>
        <w:t>满族自治县南甸</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lang w:val="en-US" w:eastAsia="zh-CN"/>
        </w:rPr>
        <w:t>13904140027。</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default" w:ascii="宋体" w:hAnsi="宋体" w:eastAsia="宋体" w:cs="宋体"/>
          <w:color w:val="000000"/>
          <w:kern w:val="0"/>
          <w:sz w:val="21"/>
          <w:szCs w:val="21"/>
          <w:lang w:val="en-US" w:eastAsia="zh-CN" w:bidi="ar"/>
        </w:rPr>
      </w:pPr>
    </w:p>
    <w:p>
      <w:pPr>
        <w:pStyle w:val="18"/>
        <w:ind w:left="0" w:leftChars="0" w:firstLine="0" w:firstLineChars="0"/>
        <w:jc w:val="center"/>
        <w:rPr>
          <w:rFonts w:hint="default" w:eastAsia="黑体"/>
          <w:sz w:val="32"/>
          <w:szCs w:val="32"/>
          <w:lang w:val="en-US" w:eastAsia="zh-CN"/>
        </w:rPr>
      </w:pPr>
      <w:r>
        <w:rPr>
          <w:rFonts w:hint="eastAsia" w:eastAsia="黑体"/>
          <w:sz w:val="32"/>
          <w:szCs w:val="32"/>
          <w:lang w:val="en-US" w:eastAsia="zh-CN"/>
        </w:rPr>
        <w:t xml:space="preserve"> 本溪老红根小米</w:t>
      </w:r>
    </w:p>
    <w:p>
      <w:pPr>
        <w:pStyle w:val="21"/>
        <w:rPr>
          <w:rFonts w:hint="eastAsia"/>
        </w:rPr>
      </w:pPr>
      <w:bookmarkStart w:id="6" w:name="_Toc75855894"/>
      <w:bookmarkStart w:id="7" w:name="_Toc75855931"/>
      <w:bookmarkStart w:id="8" w:name="_Toc79493339"/>
      <w:bookmarkStart w:id="9" w:name="_Toc75855832"/>
      <w:bookmarkStart w:id="10" w:name="_Toc72853264"/>
      <w:r>
        <w:rPr>
          <w:rFonts w:hint="eastAsia"/>
        </w:rPr>
        <w:t>范围</w:t>
      </w:r>
      <w:bookmarkEnd w:id="6"/>
      <w:bookmarkEnd w:id="7"/>
      <w:bookmarkEnd w:id="8"/>
      <w:bookmarkEnd w:id="9"/>
      <w:bookmarkEnd w:id="10"/>
    </w:p>
    <w:p>
      <w:pPr>
        <w:pStyle w:val="18"/>
        <w:ind w:left="0" w:leftChars="0" w:firstLine="420" w:firstLineChars="200"/>
        <w:jc w:val="both"/>
      </w:pPr>
      <w:r>
        <w:t>本</w:t>
      </w:r>
      <w:r>
        <w:rPr>
          <w:rFonts w:hint="eastAsia"/>
        </w:rPr>
        <w:t>文件</w:t>
      </w:r>
      <w:r>
        <w:t>规定了</w:t>
      </w:r>
      <w:r>
        <w:rPr>
          <w:rFonts w:hint="eastAsia" w:asciiTheme="minorEastAsia" w:hAnsiTheme="minorEastAsia" w:eastAsiaTheme="minorEastAsia" w:cstheme="minorEastAsia"/>
          <w:sz w:val="21"/>
          <w:szCs w:val="21"/>
          <w:lang w:val="en-US" w:eastAsia="zh-CN"/>
        </w:rPr>
        <w:t>本溪老红根小米</w:t>
      </w:r>
      <w:r>
        <w:rPr>
          <w:rFonts w:hint="eastAsia"/>
        </w:rPr>
        <w:t>的术语和定义、</w:t>
      </w:r>
      <w:r>
        <w:rPr>
          <w:rFonts w:hint="eastAsia"/>
          <w:lang w:eastAsia="zh-CN"/>
        </w:rPr>
        <w:t>产地环境</w:t>
      </w:r>
      <w:r>
        <w:rPr>
          <w:rFonts w:hint="eastAsia"/>
        </w:rPr>
        <w:t>、</w:t>
      </w:r>
      <w:r>
        <w:rPr>
          <w:rFonts w:hint="eastAsia"/>
          <w:lang w:eastAsia="zh-CN"/>
        </w:rPr>
        <w:t>栽培及加工技术、质量要求、</w:t>
      </w:r>
      <w:r>
        <w:rPr>
          <w:rFonts w:hint="eastAsia"/>
        </w:rPr>
        <w:t>检验方法、检验规则</w:t>
      </w:r>
      <w:r>
        <w:rPr>
          <w:rFonts w:hint="eastAsia"/>
          <w:lang w:eastAsia="zh-CN"/>
        </w:rPr>
        <w:t>及</w:t>
      </w:r>
      <w:r>
        <w:rPr>
          <w:rFonts w:hint="eastAsia" w:asciiTheme="minorEastAsia" w:hAnsiTheme="minorEastAsia" w:eastAsiaTheme="minorEastAsia" w:cstheme="minorEastAsia"/>
          <w:sz w:val="21"/>
          <w:szCs w:val="21"/>
        </w:rPr>
        <w:t>标志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包装、运输和贮存</w:t>
      </w:r>
      <w:r>
        <w:rPr>
          <w:rFonts w:hint="eastAsia" w:asciiTheme="minorEastAsia" w:hAnsiTheme="minorEastAsia" w:eastAsiaTheme="minorEastAsia" w:cstheme="minorEastAsia"/>
        </w:rPr>
        <w:t>。</w:t>
      </w:r>
    </w:p>
    <w:p>
      <w:pPr>
        <w:ind w:firstLine="420" w:firstLineChars="200"/>
        <w:rPr>
          <w:rFonts w:hint="eastAsia" w:ascii="宋体" w:eastAsia="宋体"/>
          <w:kern w:val="0"/>
          <w:szCs w:val="20"/>
          <w:lang w:eastAsia="zh-CN"/>
        </w:rPr>
      </w:pPr>
      <w:r>
        <w:rPr>
          <w:rFonts w:hint="eastAsia"/>
        </w:rPr>
        <w:t>本文件适用于</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rPr>
        <w:t>内生产的优质谷子经加工制成的小米</w:t>
      </w:r>
      <w:r>
        <w:rPr>
          <w:rFonts w:hint="eastAsia" w:asciiTheme="minorEastAsia" w:hAnsiTheme="minorEastAsia" w:eastAsiaTheme="minorEastAsia" w:cstheme="minorEastAsia"/>
          <w:sz w:val="21"/>
          <w:szCs w:val="21"/>
          <w:lang w:val="en-US" w:eastAsia="zh-CN"/>
        </w:rPr>
        <w:t>。</w:t>
      </w:r>
    </w:p>
    <w:p>
      <w:pPr>
        <w:pStyle w:val="21"/>
      </w:pPr>
      <w:bookmarkStart w:id="11" w:name="_Toc75855833"/>
      <w:bookmarkStart w:id="12" w:name="_Toc75855895"/>
      <w:bookmarkStart w:id="13" w:name="_Toc75855932"/>
      <w:bookmarkStart w:id="14" w:name="_Toc79493340"/>
      <w:bookmarkStart w:id="15" w:name="_Toc72853265"/>
      <w:r>
        <w:rPr>
          <w:rFonts w:hint="eastAsia"/>
        </w:rPr>
        <w:t>规范性引用文件</w:t>
      </w:r>
      <w:bookmarkEnd w:id="11"/>
      <w:bookmarkEnd w:id="12"/>
      <w:bookmarkEnd w:id="13"/>
      <w:bookmarkEnd w:id="14"/>
      <w:bookmarkEnd w:id="15"/>
    </w:p>
    <w:p>
      <w:pPr>
        <w:pStyle w:val="18"/>
      </w:pPr>
      <w:r>
        <w:rPr>
          <w:rFonts w:hint="eastAsia"/>
        </w:rPr>
        <w:t>下列文件中的内容通过文中的规范性引用而构成本文件必不可少的条歀。其中，注日期的引用文件，仅该日期对应的版本适用于本文件；不注日期的引用文件，其最新版本（包括所有的修改单）适用于本文件。</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default"/>
          <w:lang w:val="en-US" w:eastAsia="zh-CN"/>
        </w:rPr>
      </w:pPr>
      <w:bookmarkStart w:id="16" w:name="_Toc72853266"/>
      <w:bookmarkStart w:id="17" w:name="_Toc79493341"/>
      <w:bookmarkStart w:id="18" w:name="_Toc75855933"/>
      <w:bookmarkStart w:id="19" w:name="_Toc75855834"/>
      <w:bookmarkStart w:id="20" w:name="_Toc75855896"/>
      <w:r>
        <w:rPr>
          <w:rFonts w:hint="default"/>
          <w:lang w:val="en-US" w:eastAsia="zh-CN"/>
        </w:rPr>
        <w:t>GB</w:t>
      </w:r>
      <w:r>
        <w:rPr>
          <w:rFonts w:hint="eastAsia"/>
          <w:lang w:val="en-US" w:eastAsia="zh-CN"/>
        </w:rPr>
        <w:t>/T</w:t>
      </w:r>
      <w:r>
        <w:rPr>
          <w:rFonts w:hint="default"/>
          <w:lang w:val="en-US" w:eastAsia="zh-CN"/>
        </w:rPr>
        <w:t xml:space="preserve"> 191 包装储运图示标志</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2715 食品安全国家标准 粮食</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3095 环境空气质量标准</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4404.1 粮食作物种子 第1部分∶禾谷类</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5009.3 食品安全国家标准 食品中水分的测定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5009.5 食品安全国家标准 食品中蛋白质的测定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 食品安全国家标准 食品中</w:t>
      </w:r>
      <w:r>
        <w:rPr>
          <w:rFonts w:hint="eastAsia" w:asciiTheme="minorEastAsia" w:hAnsiTheme="minorEastAsia" w:eastAsiaTheme="minorEastAsia" w:cstheme="minorEastAsia"/>
          <w:sz w:val="21"/>
          <w:szCs w:val="21"/>
          <w:lang w:eastAsia="zh-CN"/>
        </w:rPr>
        <w:t>脂肪</w:t>
      </w:r>
      <w:r>
        <w:rPr>
          <w:rFonts w:hint="eastAsia" w:asciiTheme="minorEastAsia" w:hAnsiTheme="minorEastAsia" w:eastAsiaTheme="minorEastAsia" w:cstheme="minorEastAsia"/>
          <w:sz w:val="21"/>
          <w:szCs w:val="21"/>
        </w:rPr>
        <w:t>的测定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5009.9 食品安全国家标准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食品中淀粉的测定</w:t>
      </w:r>
    </w:p>
    <w:p>
      <w:pPr>
        <w:keepNext w:val="0"/>
        <w:keepLines w:val="0"/>
        <w:widowControl/>
        <w:suppressLineNumbers w:val="0"/>
        <w:ind w:firstLine="420" w:firstLineChars="200"/>
        <w:jc w:val="left"/>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 食品安全国家标准 食品中胡萝卜素的测定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5009.</w:t>
      </w:r>
      <w:r>
        <w:rPr>
          <w:rFonts w:hint="eastAsia" w:asciiTheme="minorEastAsia" w:hAnsiTheme="minorEastAsia" w:eastAsiaTheme="minorEastAsia" w:cstheme="minorEastAsia"/>
          <w:sz w:val="21"/>
          <w:szCs w:val="21"/>
          <w:lang w:val="en-US" w:eastAsia="zh-CN"/>
        </w:rPr>
        <w:t>84</w:t>
      </w:r>
      <w:r>
        <w:rPr>
          <w:rFonts w:hint="eastAsia" w:asciiTheme="minorEastAsia" w:hAnsiTheme="minorEastAsia" w:eastAsiaTheme="minorEastAsia" w:cstheme="minorEastAsia"/>
          <w:sz w:val="21"/>
          <w:szCs w:val="21"/>
        </w:rPr>
        <w:t xml:space="preserve"> 食品安全国家标准 食品</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中</w:t>
      </w:r>
      <w:r>
        <w:rPr>
          <w:rFonts w:hint="eastAsia" w:asciiTheme="minorEastAsia" w:hAnsiTheme="minorEastAsia" w:eastAsiaTheme="minorEastAsia" w:cstheme="minorEastAsia"/>
          <w:sz w:val="21"/>
          <w:szCs w:val="21"/>
        </w:rPr>
        <w:t>维生素B</w:t>
      </w:r>
      <w:r>
        <w:rPr>
          <w:rFonts w:hint="eastAsia" w:asciiTheme="minorEastAsia" w:hAnsiTheme="minorEastAsia" w:eastAsiaTheme="minorEastAsia" w:cstheme="minorEastAsia"/>
          <w:sz w:val="21"/>
          <w:szCs w:val="21"/>
          <w:vertAlign w:val="subscript"/>
        </w:rPr>
        <w:t>1</w:t>
      </w:r>
      <w:r>
        <w:rPr>
          <w:rFonts w:hint="eastAsia" w:asciiTheme="minorEastAsia" w:hAnsiTheme="minorEastAsia" w:eastAsiaTheme="minorEastAsia" w:cstheme="minorEastAsia"/>
          <w:sz w:val="21"/>
          <w:szCs w:val="21"/>
        </w:rPr>
        <w:t>的测定</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 食品安全国家标准 食品中维生素B2的测定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5491 粮食、油料检验 扦样、分样法</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5492 粮油检验 粮食、油料的色泽、气味、口味鉴定</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5494 粮油检验 粮食、油料的杂质、不完善粒检验</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5503 粮油检验 碎米检验法</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5749 生活饮用水卫生标准</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7718 食品安全国家标准 预包装食品标签通则</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GB/T 8</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lang w:val="en-US" w:eastAsia="zh-CN"/>
        </w:rPr>
        <w:t xml:space="preserve"> 粟</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8321(所有部分) 农药合理使用准则</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11766 小米</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13122 食品安全国家标准 谷物加工卫生规范</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17109 粮食销售包装</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 28050 食品安全国家标准 预包装食品营养标签通则</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83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米质测定方法</w:t>
      </w:r>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NY/T 496 肥料合理使用准则 通则</w:t>
      </w:r>
    </w:p>
    <w:p>
      <w:pPr>
        <w:keepNext w:val="0"/>
        <w:keepLines w:val="0"/>
        <w:widowControl/>
        <w:suppressLineNumbers w:val="0"/>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 农药安全使用规范 总则</w:t>
      </w:r>
    </w:p>
    <w:p>
      <w:pPr>
        <w:pStyle w:val="22"/>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JJF 1070 定量包装商品净含量计量检验规则</w:t>
      </w:r>
      <w:r>
        <w:rPr>
          <w:rFonts w:hint="eastAsia" w:asciiTheme="minorEastAsia" w:hAnsiTheme="minorEastAsia" w:eastAsiaTheme="minorEastAsia" w:cstheme="minorEastAsia"/>
        </w:rPr>
        <w:t>术语和定义</w:t>
      </w:r>
      <w:bookmarkEnd w:id="16"/>
      <w:bookmarkEnd w:id="17"/>
      <w:bookmarkEnd w:id="18"/>
      <w:bookmarkEnd w:id="19"/>
      <w:bookmarkEnd w:id="20"/>
    </w:p>
    <w:p>
      <w:pPr>
        <w:pStyle w:val="22"/>
        <w:keepNext w:val="0"/>
        <w:keepLines w:val="0"/>
        <w:pageBreakBefore w:val="0"/>
        <w:widowControl/>
        <w:kinsoku/>
        <w:wordWrap/>
        <w:overflowPunct/>
        <w:topLinePunct w:val="0"/>
        <w:autoSpaceDE w:val="0"/>
        <w:autoSpaceDN w:val="0"/>
        <w:bidi w:val="0"/>
        <w:adjustRightInd/>
        <w:snapToGrid/>
        <w:spacing w:line="240" w:lineRule="auto"/>
        <w:ind w:left="0" w:leftChars="0" w:firstLine="210" w:firstLineChars="100"/>
        <w:textAlignment w:val="auto"/>
        <w:rPr>
          <w:rFonts w:hint="default"/>
          <w:lang w:val="en-US" w:eastAsia="zh-CN"/>
        </w:rPr>
      </w:pPr>
      <w:r>
        <w:rPr>
          <w:rFonts w:hint="eastAsia"/>
          <w:lang w:val="en-US" w:eastAsia="zh-CN"/>
        </w:rPr>
        <w:t xml:space="preserve"> 国家质量监督检验检疫总局</w:t>
      </w:r>
      <w:r>
        <w:rPr>
          <w:rFonts w:hint="default"/>
          <w:lang w:val="en-US" w:eastAsia="zh-CN"/>
        </w:rPr>
        <w:t>令第75号（2005）《定量包装商品计量监督管理办法》</w:t>
      </w:r>
    </w:p>
    <w:p>
      <w:pPr>
        <w:pStyle w:val="23"/>
        <w:keepNext w:val="0"/>
        <w:keepLines w:val="0"/>
        <w:pageBreakBefore w:val="0"/>
        <w:widowControl/>
        <w:numPr>
          <w:ilvl w:val="1"/>
          <w:numId w:val="0"/>
        </w:numPr>
        <w:kinsoku/>
        <w:wordWrap/>
        <w:overflowPunct/>
        <w:topLinePunct w:val="0"/>
        <w:bidi w:val="0"/>
        <w:adjustRightInd/>
        <w:snapToGrid/>
        <w:spacing w:before="312" w:after="312" w:line="240" w:lineRule="exact"/>
        <w:textAlignment w:val="auto"/>
        <w:rPr>
          <w:rFonts w:hint="default"/>
        </w:rPr>
      </w:pPr>
      <w:bookmarkStart w:id="21" w:name="_Toc22595"/>
      <w:bookmarkStart w:id="22" w:name="_Toc29211"/>
      <w:bookmarkStart w:id="23" w:name="_Toc219799239"/>
      <w:bookmarkStart w:id="24" w:name="_Toc31049"/>
      <w:bookmarkStart w:id="25" w:name="_Toc196816650"/>
      <w:r>
        <w:rPr>
          <w:rFonts w:hint="eastAsia"/>
          <w:szCs w:val="21"/>
          <w:lang w:val="en-US" w:eastAsia="zh-CN"/>
        </w:rPr>
        <w:t xml:space="preserve">3 </w:t>
      </w:r>
      <w:r>
        <w:rPr>
          <w:rFonts w:hint="default"/>
          <w:szCs w:val="21"/>
        </w:rPr>
        <w:t>术语和定义</w:t>
      </w:r>
      <w:bookmarkEnd w:id="21"/>
      <w:bookmarkEnd w:id="22"/>
      <w:bookmarkEnd w:id="23"/>
      <w:bookmarkEnd w:id="24"/>
      <w:bookmarkEnd w:id="25"/>
    </w:p>
    <w:p>
      <w:pPr>
        <w:pStyle w:val="18"/>
        <w:keepNext w:val="0"/>
        <w:keepLines w:val="0"/>
        <w:pageBreakBefore w:val="0"/>
        <w:widowControl/>
        <w:kinsoku/>
        <w:wordWrap/>
        <w:overflowPunct/>
        <w:topLinePunct w:val="0"/>
        <w:bidi w:val="0"/>
        <w:adjustRightInd/>
        <w:snapToGrid/>
        <w:spacing w:before="157" w:beforeLines="50" w:after="157" w:afterLines="50" w:line="240" w:lineRule="exact"/>
        <w:ind w:firstLine="420"/>
        <w:textAlignment w:val="auto"/>
        <w:rPr>
          <w:rFonts w:hint="eastAsia" w:asciiTheme="minorEastAsia" w:hAnsiTheme="minorEastAsia" w:eastAsiaTheme="minorEastAsia" w:cstheme="minorEastAsia"/>
        </w:rPr>
      </w:pPr>
      <w:r>
        <w:rPr>
          <w:rFonts w:hint="eastAsia" w:ascii="宋体" w:hAnsi="Times New Roman" w:eastAsia="宋体" w:cs="Times New Roman"/>
          <w:sz w:val="21"/>
          <w:lang w:val="en-US" w:eastAsia="zh-CN" w:bidi="ar-SA"/>
        </w:rPr>
        <w:t>GB/T 11766界定的以及下列术语和定义适用于本文件。</w:t>
      </w:r>
    </w:p>
    <w:p>
      <w:pPr>
        <w:pStyle w:val="24"/>
        <w:keepNext w:val="0"/>
        <w:keepLines w:val="0"/>
        <w:pageBreakBefore w:val="0"/>
        <w:widowControl/>
        <w:numPr>
          <w:ilvl w:val="0"/>
          <w:numId w:val="0"/>
        </w:numPr>
        <w:kinsoku/>
        <w:wordWrap/>
        <w:overflowPunct/>
        <w:topLinePunct w:val="0"/>
        <w:bidi w:val="0"/>
        <w:adjustRightInd/>
        <w:snapToGrid/>
        <w:textAlignment w:val="auto"/>
        <w:rPr>
          <w:rFonts w:hint="eastAsia" w:ascii="黑体" w:hAnsi="黑体" w:eastAsia="黑体" w:cs="黑体"/>
          <w:lang w:val="en-US" w:eastAsia="zh-CN"/>
        </w:rPr>
      </w:pPr>
      <w:bookmarkStart w:id="26" w:name="_Toc79493342"/>
      <w:bookmarkEnd w:id="26"/>
      <w:bookmarkStart w:id="27" w:name="_Toc72853267"/>
      <w:bookmarkStart w:id="28" w:name="_Toc75855836"/>
      <w:bookmarkStart w:id="29" w:name="_Toc75855898"/>
      <w:bookmarkStart w:id="30" w:name="_Toc79493344"/>
      <w:bookmarkStart w:id="31" w:name="_Toc75855935"/>
      <w:r>
        <w:rPr>
          <w:rFonts w:hint="eastAsia" w:ascii="黑体" w:hAnsi="黑体" w:eastAsia="黑体" w:cs="黑体"/>
          <w:lang w:val="en-US" w:eastAsia="zh-CN"/>
        </w:rPr>
        <w:t>3.1</w:t>
      </w:r>
    </w:p>
    <w:p>
      <w:pPr>
        <w:pStyle w:val="24"/>
        <w:numPr>
          <w:ilvl w:val="0"/>
          <w:numId w:val="0"/>
        </w:numPr>
        <w:ind w:firstLine="420" w:firstLineChars="200"/>
        <w:rPr>
          <w:rFonts w:hint="default" w:cs="Times New Roman"/>
          <w:lang w:val="en-US" w:eastAsia="zh-CN"/>
        </w:rPr>
      </w:pPr>
      <w:r>
        <w:rPr>
          <w:rFonts w:hint="eastAsia" w:cs="Times New Roman"/>
          <w:lang w:eastAsia="zh-CN"/>
        </w:rPr>
        <w:t>本溪老红根小米</w:t>
      </w:r>
      <w:r>
        <w:rPr>
          <w:rFonts w:hint="eastAsia" w:cs="Times New Roman"/>
          <w:lang w:val="en-US" w:eastAsia="zh-CN"/>
        </w:rPr>
        <w:t xml:space="preserve"> Benxi Old Red Root Millet</w:t>
      </w:r>
    </w:p>
    <w:p>
      <w:pPr>
        <w:pStyle w:val="24"/>
        <w:numPr>
          <w:ilvl w:val="0"/>
          <w:numId w:val="0"/>
        </w:num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在</w:t>
      </w:r>
      <w:r>
        <w:rPr>
          <w:rFonts w:hint="eastAsia" w:asciiTheme="minorEastAsia" w:hAnsiTheme="minorEastAsia" w:eastAsiaTheme="minorEastAsia" w:cstheme="minorEastAsia"/>
          <w:sz w:val="21"/>
          <w:szCs w:val="21"/>
        </w:rPr>
        <w:t>本溪市本溪满族自治县现辖行政区范围，地理位置在</w:t>
      </w:r>
      <w:r>
        <w:rPr>
          <w:rFonts w:hint="eastAsia" w:asciiTheme="minorEastAsia" w:hAnsiTheme="minorEastAsia" w:eastAsiaTheme="minorEastAsia" w:cstheme="minorEastAsia"/>
          <w:sz w:val="21"/>
          <w:szCs w:val="21"/>
          <w:lang w:eastAsia="zh-CN"/>
        </w:rPr>
        <w:t>东经</w:t>
      </w:r>
      <w:r>
        <w:rPr>
          <w:rFonts w:hint="eastAsia" w:asciiTheme="minorEastAsia" w:hAnsiTheme="minorEastAsia" w:eastAsiaTheme="minorEastAsia" w:cstheme="minorEastAsia"/>
          <w:sz w:val="21"/>
          <w:szCs w:val="21"/>
        </w:rPr>
        <w:t>123°34＇53''～124°45＇42''，北纬为40°48＇52''～41°33＇50'</w:t>
      </w:r>
      <w:r>
        <w:rPr>
          <w:rFonts w:hint="eastAsia" w:ascii="宋体" w:hAnsi="宋体" w:eastAsia="宋体" w:cs="宋体"/>
          <w:color w:val="000000"/>
          <w:sz w:val="21"/>
          <w:szCs w:val="21"/>
          <w:lang w:eastAsia="zh-CN"/>
        </w:rPr>
        <w:t>，</w:t>
      </w:r>
      <w:r>
        <w:rPr>
          <w:rFonts w:hint="eastAsia" w:ascii="宋体" w:hAnsi="宋体" w:eastAsia="宋体" w:cs="宋体"/>
          <w:i w:val="0"/>
          <w:caps w:val="0"/>
          <w:color w:val="000000"/>
          <w:spacing w:val="0"/>
          <w:sz w:val="21"/>
          <w:szCs w:val="21"/>
          <w:shd w:val="clear" w:color="auto" w:fill="FFFFFF"/>
        </w:rPr>
        <w:t>本溪满族自治县连山关镇、草河口镇、草河掌镇、东营坊乡、碱厂镇、南甸子镇、田师付镇、小市镇和清河城镇9个乡镇</w:t>
      </w:r>
      <w:r>
        <w:rPr>
          <w:rFonts w:hint="eastAsia" w:ascii="宋体" w:hAnsi="宋体" w:eastAsia="宋体" w:cs="宋体"/>
          <w:i w:val="0"/>
          <w:caps w:val="0"/>
          <w:color w:val="000000"/>
          <w:spacing w:val="0"/>
          <w:sz w:val="21"/>
          <w:szCs w:val="21"/>
          <w:shd w:val="clear" w:color="auto" w:fill="FFFFFF"/>
          <w:lang w:eastAsia="zh-CN"/>
        </w:rPr>
        <w:t>，</w:t>
      </w:r>
      <w:r>
        <w:rPr>
          <w:rFonts w:hint="eastAsia" w:ascii="宋体" w:hAnsi="宋体" w:eastAsia="宋体" w:cs="宋体"/>
          <w:color w:val="000000"/>
          <w:sz w:val="21"/>
          <w:szCs w:val="21"/>
          <w:lang w:eastAsia="zh-CN"/>
        </w:rPr>
        <w:t>按照本文件规定的要求生产，并符合本文件质量要求的小米。</w:t>
      </w:r>
    </w:p>
    <w:bookmarkEnd w:id="27"/>
    <w:bookmarkEnd w:id="28"/>
    <w:bookmarkEnd w:id="29"/>
    <w:bookmarkEnd w:id="30"/>
    <w:bookmarkEnd w:id="31"/>
    <w:p>
      <w:pPr>
        <w:pStyle w:val="21"/>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textAlignment w:val="auto"/>
        <w:rPr>
          <w:rFonts w:hint="eastAsia" w:hAnsi="黑体" w:cs="黑体"/>
          <w:sz w:val="21"/>
          <w:szCs w:val="21"/>
          <w:lang w:eastAsia="zh-CN"/>
        </w:rPr>
      </w:pPr>
      <w:bookmarkStart w:id="32" w:name="DW"/>
      <w:bookmarkEnd w:id="32"/>
      <w:bookmarkStart w:id="33" w:name="_Toc75855912"/>
      <w:bookmarkStart w:id="34" w:name="_Toc75855850"/>
      <w:bookmarkStart w:id="35" w:name="_Toc75855945"/>
      <w:bookmarkStart w:id="36" w:name="_Toc79493346"/>
      <w:bookmarkStart w:id="37" w:name="_Toc420508186"/>
      <w:bookmarkStart w:id="38" w:name="_Toc420582963"/>
      <w:r>
        <w:rPr>
          <w:rFonts w:hint="eastAsia" w:hAnsi="黑体" w:cs="黑体"/>
          <w:sz w:val="21"/>
          <w:szCs w:val="21"/>
          <w:lang w:val="en-US" w:eastAsia="zh-CN"/>
        </w:rPr>
        <w:t xml:space="preserve">4 </w:t>
      </w:r>
      <w:r>
        <w:rPr>
          <w:rFonts w:hint="eastAsia" w:hAnsi="黑体" w:cs="黑体"/>
          <w:sz w:val="21"/>
          <w:szCs w:val="21"/>
          <w:lang w:eastAsia="zh-CN"/>
        </w:rPr>
        <w:t>产地环境</w:t>
      </w:r>
    </w:p>
    <w:p>
      <w:pPr>
        <w:pStyle w:val="24"/>
        <w:keepNext w:val="0"/>
        <w:keepLines w:val="0"/>
        <w:pageBreakBefore w:val="0"/>
        <w:widowControl/>
        <w:numPr>
          <w:ilvl w:val="0"/>
          <w:numId w:val="0"/>
        </w:numPr>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cs="宋体"/>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eastAsia="zh-CN"/>
        </w:rPr>
        <w:t>平均</w:t>
      </w:r>
      <w:r>
        <w:rPr>
          <w:rFonts w:hint="eastAsia" w:ascii="宋体" w:hAnsi="宋体" w:eastAsia="宋体" w:cs="宋体"/>
          <w:i w:val="0"/>
          <w:caps w:val="0"/>
          <w:color w:val="000000"/>
          <w:spacing w:val="0"/>
          <w:sz w:val="21"/>
          <w:szCs w:val="21"/>
          <w:shd w:val="clear" w:color="auto" w:fill="FFFFFF"/>
        </w:rPr>
        <w:t>海拔</w:t>
      </w:r>
      <w:r>
        <w:rPr>
          <w:rFonts w:hint="eastAsia" w:ascii="宋体" w:hAnsi="宋体" w:eastAsia="宋体" w:cs="宋体"/>
          <w:i w:val="0"/>
          <w:caps w:val="0"/>
          <w:color w:val="000000"/>
          <w:spacing w:val="0"/>
          <w:sz w:val="21"/>
          <w:szCs w:val="21"/>
          <w:shd w:val="clear" w:color="auto" w:fill="FFFFFF"/>
          <w:lang w:val="en-US" w:eastAsia="zh-CN"/>
        </w:rPr>
        <w:t>4</w:t>
      </w:r>
      <w:r>
        <w:rPr>
          <w:rFonts w:hint="eastAsia" w:ascii="宋体" w:hAnsi="宋体" w:eastAsia="宋体" w:cs="宋体"/>
          <w:i w:val="0"/>
          <w:caps w:val="0"/>
          <w:color w:val="000000"/>
          <w:spacing w:val="0"/>
          <w:sz w:val="21"/>
          <w:szCs w:val="21"/>
          <w:shd w:val="clear" w:color="auto" w:fill="FFFFFF"/>
        </w:rPr>
        <w:t>00m，</w:t>
      </w:r>
      <w:r>
        <w:rPr>
          <w:rFonts w:hint="eastAsia" w:ascii="宋体" w:hAnsi="宋体" w:eastAsia="宋体" w:cs="宋体"/>
          <w:i w:val="0"/>
          <w:caps w:val="0"/>
          <w:color w:val="000000"/>
          <w:spacing w:val="0"/>
          <w:sz w:val="21"/>
          <w:szCs w:val="21"/>
          <w:shd w:val="clear" w:color="auto" w:fill="FFFFFF"/>
          <w:lang w:eastAsia="zh-CN"/>
        </w:rPr>
        <w:t>以</w:t>
      </w:r>
      <w:r>
        <w:rPr>
          <w:rFonts w:hint="eastAsia" w:ascii="宋体" w:hAnsi="宋体" w:eastAsia="宋体" w:cs="宋体"/>
          <w:i w:val="0"/>
          <w:caps w:val="0"/>
          <w:color w:val="000000"/>
          <w:spacing w:val="0"/>
          <w:sz w:val="21"/>
          <w:szCs w:val="21"/>
          <w:shd w:val="clear" w:color="auto" w:fill="FFFFFF"/>
        </w:rPr>
        <w:t>棕壤</w:t>
      </w:r>
      <w:r>
        <w:rPr>
          <w:rFonts w:hint="eastAsia" w:ascii="宋体" w:hAnsi="宋体" w:eastAsia="宋体" w:cs="宋体"/>
          <w:i w:val="0"/>
          <w:caps w:val="0"/>
          <w:color w:val="000000"/>
          <w:spacing w:val="0"/>
          <w:sz w:val="21"/>
          <w:szCs w:val="21"/>
          <w:shd w:val="clear" w:color="auto" w:fill="FFFFFF"/>
          <w:lang w:eastAsia="zh-CN"/>
        </w:rPr>
        <w:t>土质为主</w:t>
      </w:r>
      <w:r>
        <w:rPr>
          <w:rFonts w:hint="eastAsia" w:ascii="宋体" w:hAnsi="宋体" w:eastAsia="宋体" w:cs="宋体"/>
          <w:i w:val="0"/>
          <w:caps w:val="0"/>
          <w:color w:val="000000"/>
          <w:spacing w:val="0"/>
          <w:sz w:val="21"/>
          <w:szCs w:val="21"/>
          <w:shd w:val="clear" w:color="auto" w:fill="FFFFFF"/>
        </w:rPr>
        <w:t>，pH值≥6.</w:t>
      </w:r>
      <w:r>
        <w:rPr>
          <w:rFonts w:hint="eastAsia" w:ascii="宋体" w:hAnsi="宋体" w:eastAsia="宋体" w:cs="宋体"/>
          <w:i w:val="0"/>
          <w:caps w:val="0"/>
          <w:color w:val="000000"/>
          <w:spacing w:val="0"/>
          <w:sz w:val="21"/>
          <w:szCs w:val="21"/>
          <w:shd w:val="clear" w:color="auto" w:fill="FFFFFF"/>
          <w:lang w:val="en-US" w:eastAsia="zh-CN"/>
        </w:rPr>
        <w:t>5</w:t>
      </w:r>
      <w:r>
        <w:rPr>
          <w:rFonts w:hint="eastAsia" w:ascii="宋体" w:hAnsi="宋体" w:eastAsia="宋体" w:cs="宋体"/>
          <w:i w:val="0"/>
          <w:caps w:val="0"/>
          <w:color w:val="000000"/>
          <w:spacing w:val="0"/>
          <w:sz w:val="21"/>
          <w:szCs w:val="21"/>
          <w:shd w:val="clear" w:color="auto" w:fill="FFFFFF"/>
        </w:rPr>
        <w:t>，土壤</w:t>
      </w:r>
      <w:r>
        <w:rPr>
          <w:rFonts w:hint="eastAsia" w:ascii="宋体" w:hAnsi="宋体" w:eastAsia="宋体" w:cs="宋体"/>
          <w:i w:val="0"/>
          <w:caps w:val="0"/>
          <w:color w:val="000000"/>
          <w:spacing w:val="0"/>
          <w:sz w:val="21"/>
          <w:szCs w:val="21"/>
          <w:shd w:val="clear" w:color="auto" w:fill="FFFFFF"/>
          <w:lang w:eastAsia="zh-CN"/>
        </w:rPr>
        <w:t>由残积质和坡积</w:t>
      </w:r>
      <w:r>
        <w:rPr>
          <w:rFonts w:hint="eastAsia" w:ascii="宋体" w:hAnsi="宋体" w:eastAsia="宋体" w:cs="宋体"/>
          <w:i w:val="0"/>
          <w:caps w:val="0"/>
          <w:color w:val="000000"/>
          <w:spacing w:val="0"/>
          <w:sz w:val="21"/>
          <w:szCs w:val="21"/>
          <w:shd w:val="clear" w:color="auto" w:fill="FFFFFF"/>
        </w:rPr>
        <w:t>质</w:t>
      </w:r>
      <w:r>
        <w:rPr>
          <w:rFonts w:hint="eastAsia" w:ascii="宋体" w:hAnsi="宋体" w:eastAsia="宋体" w:cs="宋体"/>
          <w:i w:val="0"/>
          <w:caps w:val="0"/>
          <w:color w:val="000000"/>
          <w:spacing w:val="0"/>
          <w:sz w:val="21"/>
          <w:szCs w:val="21"/>
          <w:shd w:val="clear" w:color="auto" w:fill="FFFFFF"/>
          <w:lang w:eastAsia="zh-CN"/>
        </w:rPr>
        <w:t>形成</w:t>
      </w:r>
      <w:r>
        <w:rPr>
          <w:rFonts w:hint="eastAsia" w:ascii="宋体" w:hAnsi="宋体" w:eastAsia="宋体" w:cs="宋体"/>
          <w:i w:val="0"/>
          <w:caps w:val="0"/>
          <w:color w:val="000000"/>
          <w:spacing w:val="0"/>
          <w:sz w:val="21"/>
          <w:szCs w:val="21"/>
          <w:shd w:val="clear" w:color="auto" w:fill="FFFFFF"/>
        </w:rPr>
        <w:t>，有机质含量≥</w:t>
      </w:r>
      <w:r>
        <w:rPr>
          <w:rFonts w:hint="eastAsia" w:ascii="宋体" w:hAnsi="宋体" w:eastAsia="宋体" w:cs="宋体"/>
          <w:i w:val="0"/>
          <w:caps w:val="0"/>
          <w:color w:val="000000"/>
          <w:spacing w:val="0"/>
          <w:sz w:val="21"/>
          <w:szCs w:val="21"/>
          <w:shd w:val="clear" w:color="auto" w:fill="FFFFFF"/>
          <w:lang w:val="en-US" w:eastAsia="zh-CN"/>
        </w:rPr>
        <w:t>3.2</w:t>
      </w:r>
      <w:r>
        <w:rPr>
          <w:rFonts w:hint="eastAsia" w:ascii="宋体" w:hAnsi="宋体" w:eastAsia="宋体" w:cs="宋体"/>
          <w:i w:val="0"/>
          <w:caps w:val="0"/>
          <w:color w:val="000000"/>
          <w:spacing w:val="0"/>
          <w:sz w:val="21"/>
          <w:szCs w:val="21"/>
          <w:shd w:val="clear" w:color="auto" w:fill="FFFFFF"/>
        </w:rPr>
        <w:t>％，</w:t>
      </w:r>
      <w:r>
        <w:rPr>
          <w:rFonts w:hint="eastAsia" w:ascii="宋体" w:hAnsi="宋体" w:eastAsia="宋体" w:cs="宋体"/>
          <w:i w:val="0"/>
          <w:caps w:val="0"/>
          <w:color w:val="000000"/>
          <w:spacing w:val="0"/>
          <w:sz w:val="21"/>
          <w:szCs w:val="21"/>
          <w:shd w:val="clear" w:color="auto" w:fill="FFFFFF"/>
          <w:lang w:eastAsia="zh-CN"/>
        </w:rPr>
        <w:t>土壤中速效磷、速效钾及碱解氮含量均接近</w:t>
      </w:r>
      <w:r>
        <w:rPr>
          <w:rFonts w:hint="eastAsia" w:ascii="宋体" w:hAnsi="宋体" w:eastAsia="宋体" w:cs="宋体"/>
          <w:i w:val="0"/>
          <w:caps w:val="0"/>
          <w:color w:val="000000"/>
          <w:spacing w:val="0"/>
          <w:sz w:val="21"/>
          <w:szCs w:val="21"/>
          <w:shd w:val="clear" w:color="auto" w:fill="FFFFFF"/>
          <w:lang w:val="en-US" w:eastAsia="zh-CN"/>
        </w:rPr>
        <w:t>3级</w:t>
      </w:r>
      <w:r>
        <w:rPr>
          <w:rFonts w:hint="eastAsia" w:asciiTheme="minorEastAsia" w:hAnsiTheme="minorEastAsia" w:eastAsiaTheme="minorEastAsia" w:cstheme="minorEastAsia"/>
          <w:sz w:val="21"/>
          <w:szCs w:val="21"/>
          <w:lang w:val="en-US" w:eastAsia="zh-CN"/>
        </w:rPr>
        <w:t>。环境质量应符合GB 3095的要求。</w:t>
      </w:r>
    </w:p>
    <w:p>
      <w:pPr>
        <w:pStyle w:val="21"/>
        <w:numPr>
          <w:ilvl w:val="0"/>
          <w:numId w:val="0"/>
        </w:numPr>
        <w:ind w:leftChars="0"/>
        <w:rPr>
          <w:rFonts w:hint="default"/>
          <w:lang w:val="en-US" w:eastAsia="zh-CN"/>
        </w:rPr>
      </w:pPr>
      <w:r>
        <w:rPr>
          <w:rFonts w:hint="eastAsia"/>
          <w:lang w:val="en-US" w:eastAsia="zh-CN"/>
        </w:rPr>
        <w:t>5 栽培及加工技术</w:t>
      </w:r>
    </w:p>
    <w:p>
      <w:pPr>
        <w:pStyle w:val="21"/>
        <w:keepNext w:val="0"/>
        <w:keepLines w:val="0"/>
        <w:pageBreakBefore w:val="0"/>
        <w:widowControl/>
        <w:numPr>
          <w:ilvl w:val="0"/>
          <w:numId w:val="0"/>
        </w:numPr>
        <w:kinsoku/>
        <w:wordWrap/>
        <w:overflowPunct/>
        <w:topLinePunct w:val="0"/>
        <w:bidi w:val="0"/>
        <w:adjustRightInd/>
        <w:snapToGrid/>
        <w:spacing w:line="200" w:lineRule="exact"/>
        <w:ind w:leftChars="0"/>
        <w:textAlignment w:val="auto"/>
        <w:rPr>
          <w:rFonts w:hint="eastAsia"/>
          <w:lang w:val="en-US" w:eastAsia="zh-CN"/>
        </w:rPr>
      </w:pPr>
      <w:r>
        <w:rPr>
          <w:rFonts w:hint="eastAsia"/>
          <w:lang w:val="en-US" w:eastAsia="zh-CN"/>
        </w:rPr>
        <w:t>5.1品种</w:t>
      </w:r>
    </w:p>
    <w:p>
      <w:pPr>
        <w:pStyle w:val="21"/>
        <w:keepNext w:val="0"/>
        <w:keepLines w:val="0"/>
        <w:pageBreakBefore w:val="0"/>
        <w:widowControl/>
        <w:numPr>
          <w:ilvl w:val="0"/>
          <w:numId w:val="0"/>
        </w:numPr>
        <w:kinsoku/>
        <w:wordWrap/>
        <w:overflowPunct/>
        <w:topLinePunct w:val="0"/>
        <w:bidi w:val="0"/>
        <w:adjustRightInd/>
        <w:snapToGrid/>
        <w:spacing w:line="200" w:lineRule="exact"/>
        <w:ind w:leftChars="0" w:firstLine="210" w:firstLineChars="1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本溪老红根谷子，质量应符合</w:t>
      </w:r>
      <w:r>
        <w:rPr>
          <w:rFonts w:hint="eastAsia" w:asciiTheme="minorEastAsia" w:hAnsiTheme="minorEastAsia" w:eastAsiaTheme="minorEastAsia" w:cstheme="minorEastAsia"/>
          <w:lang w:val="en-US" w:eastAsia="zh-CN"/>
        </w:rPr>
        <w:t>GB4404.1的要求。</w:t>
      </w:r>
    </w:p>
    <w:p>
      <w:pPr>
        <w:pStyle w:val="25"/>
        <w:keepNext w:val="0"/>
        <w:keepLines w:val="0"/>
        <w:pageBreakBefore w:val="0"/>
        <w:widowControl/>
        <w:numPr>
          <w:ilvl w:val="0"/>
          <w:numId w:val="0"/>
        </w:numPr>
        <w:kinsoku/>
        <w:wordWrap/>
        <w:overflowPunct/>
        <w:topLinePunct w:val="0"/>
        <w:bidi w:val="0"/>
        <w:adjustRightInd/>
        <w:snapToGrid/>
        <w:spacing w:line="200" w:lineRule="exact"/>
        <w:textAlignment w:val="auto"/>
        <w:rPr>
          <w:rFonts w:hint="default"/>
          <w:lang w:val="en-US" w:eastAsia="zh-CN"/>
        </w:rPr>
      </w:pPr>
      <w:r>
        <w:rPr>
          <w:rFonts w:hint="eastAsia"/>
          <w:lang w:val="en-US" w:eastAsia="zh-CN"/>
        </w:rPr>
        <w:t>5.2 播种</w:t>
      </w:r>
    </w:p>
    <w:p>
      <w:pPr>
        <w:pStyle w:val="25"/>
        <w:keepNext w:val="0"/>
        <w:keepLines w:val="0"/>
        <w:pageBreakBefore w:val="0"/>
        <w:widowControl/>
        <w:numPr>
          <w:ilvl w:val="0"/>
          <w:numId w:val="0"/>
        </w:numPr>
        <w:kinsoku/>
        <w:wordWrap/>
        <w:overflowPunct/>
        <w:topLinePunct w:val="0"/>
        <w:bidi w:val="0"/>
        <w:adjustRightInd/>
        <w:snapToGrid/>
        <w:spacing w:line="200" w:lineRule="exact"/>
        <w:ind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val="en-US" w:eastAsia="zh-CN"/>
        </w:rPr>
        <w:t>4月下旬至5月上旬。</w:t>
      </w:r>
      <w:r>
        <w:rPr>
          <w:rFonts w:hint="eastAsia" w:asciiTheme="minorEastAsia" w:hAnsiTheme="minorEastAsia" w:eastAsiaTheme="minorEastAsia" w:cstheme="minorEastAsia"/>
          <w:sz w:val="21"/>
          <w:vertAlign w:val="baseline"/>
          <w:lang w:val="en-US" w:eastAsia="zh-CN"/>
        </w:rPr>
        <w:t>灭茬成垄，播种深度为</w:t>
      </w:r>
      <w:r>
        <w:rPr>
          <w:rFonts w:hint="eastAsia" w:asciiTheme="minorEastAsia" w:hAnsiTheme="minorEastAsia" w:eastAsiaTheme="minorEastAsia" w:cstheme="minorEastAsia"/>
          <w:sz w:val="21"/>
          <w:szCs w:val="21"/>
          <w:lang w:val="en-US" w:eastAsia="zh-CN"/>
        </w:rPr>
        <w:t>2cm-3cm。</w:t>
      </w:r>
    </w:p>
    <w:p>
      <w:pPr>
        <w:pStyle w:val="24"/>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sz w:val="21"/>
          <w:szCs w:val="21"/>
          <w:lang w:val="en-US" w:eastAsia="zh-CN"/>
        </w:rPr>
      </w:pPr>
      <w:r>
        <w:rPr>
          <w:rFonts w:hint="eastAsia"/>
          <w:sz w:val="21"/>
          <w:szCs w:val="21"/>
          <w:lang w:val="en-US" w:eastAsia="zh-CN"/>
        </w:rPr>
        <w:t>5.3 定苗</w:t>
      </w:r>
    </w:p>
    <w:p>
      <w:pPr>
        <w:pStyle w:val="18"/>
        <w:keepNext w:val="0"/>
        <w:keepLines w:val="0"/>
        <w:pageBreakBefore w:val="0"/>
        <w:widowControl/>
        <w:kinsoku/>
        <w:wordWrap/>
        <w:overflowPunct/>
        <w:topLinePunct w:val="0"/>
        <w:bidi w:val="0"/>
        <w:adjustRightInd/>
        <w:snapToGrid/>
        <w:spacing w:line="220" w:lineRule="exact"/>
        <w:textAlignment w:val="auto"/>
        <w:rPr>
          <w:rFonts w:hint="default"/>
          <w:lang w:val="en-US" w:eastAsia="zh-CN"/>
        </w:rPr>
      </w:pP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3个</w:t>
      </w:r>
      <w:r>
        <w:rPr>
          <w:rFonts w:hint="eastAsia" w:asciiTheme="minorEastAsia" w:hAnsiTheme="minorEastAsia" w:eastAsiaTheme="minorEastAsia" w:cstheme="minorEastAsia"/>
          <w:sz w:val="21"/>
          <w:szCs w:val="21"/>
          <w:lang w:val="en-US" w:eastAsia="zh-CN"/>
        </w:rPr>
        <w:t>-5个叶片时人工除杂草定苗，株距为5cm-7cm，交错分布。定苗后浅趟一次。</w:t>
      </w:r>
    </w:p>
    <w:p>
      <w:pPr>
        <w:pStyle w:val="24"/>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1"/>
          <w:szCs w:val="21"/>
          <w:lang w:val="en-US" w:eastAsia="zh-CN"/>
        </w:rPr>
      </w:pPr>
      <w:r>
        <w:rPr>
          <w:rFonts w:hint="eastAsia"/>
          <w:sz w:val="21"/>
          <w:szCs w:val="21"/>
          <w:lang w:val="en-US" w:eastAsia="zh-CN"/>
        </w:rPr>
        <w:t>5.4 施肥</w:t>
      </w:r>
    </w:p>
    <w:p>
      <w:pPr>
        <w:pStyle w:val="18"/>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应符合NY/T 496的要求。</w:t>
      </w:r>
      <w:r>
        <w:rPr>
          <w:rFonts w:hint="eastAsia" w:asciiTheme="minorEastAsia" w:hAnsiTheme="minorEastAsia" w:eastAsiaTheme="minorEastAsia" w:cstheme="minorEastAsia"/>
          <w:color w:val="auto"/>
          <w:lang w:val="en-US" w:eastAsia="zh-CN"/>
        </w:rPr>
        <w:t>播种前施入有机肥500</w:t>
      </w:r>
      <w:r>
        <w:rPr>
          <w:rFonts w:hint="eastAsia" w:asciiTheme="minorEastAsia" w:hAnsiTheme="minorEastAsia" w:eastAsiaTheme="minorEastAsia" w:cstheme="minorEastAsia"/>
          <w:color w:val="auto"/>
          <w:sz w:val="21"/>
          <w:szCs w:val="21"/>
          <w:lang w:val="en-US" w:eastAsia="zh-CN"/>
        </w:rPr>
        <w:t>kg/</w:t>
      </w:r>
      <w:r>
        <w:rPr>
          <w:rFonts w:hint="eastAsia" w:asciiTheme="minorEastAsia" w:hAnsiTheme="minorEastAsia" w:eastAsiaTheme="minorEastAsia" w:cstheme="minorEastAsia"/>
          <w:color w:val="auto"/>
          <w:lang w:val="en-US" w:eastAsia="zh-CN"/>
        </w:rPr>
        <w:t>667m</w:t>
      </w:r>
      <w:r>
        <w:rPr>
          <w:rFonts w:hint="eastAsia" w:asciiTheme="minorEastAsia" w:hAnsiTheme="minorEastAsia" w:eastAsiaTheme="minorEastAsia" w:cstheme="minorEastAsia"/>
          <w:color w:val="auto"/>
          <w:sz w:val="21"/>
          <w:vertAlign w:val="superscript"/>
          <w:lang w:val="en-US" w:eastAsia="zh-CN"/>
        </w:rPr>
        <w:t>2</w:t>
      </w:r>
      <w:r>
        <w:rPr>
          <w:rFonts w:hint="eastAsia" w:asciiTheme="minorEastAsia" w:hAnsiTheme="minorEastAsia" w:eastAsiaTheme="minorEastAsia" w:cstheme="minorEastAsia"/>
          <w:color w:val="auto"/>
          <w:sz w:val="21"/>
          <w:vertAlign w:val="baseline"/>
          <w:lang w:val="en-US" w:eastAsia="zh-CN"/>
        </w:rPr>
        <w:t>。</w:t>
      </w:r>
      <w:r>
        <w:rPr>
          <w:rFonts w:hint="eastAsia"/>
          <w:sz w:val="21"/>
          <w:szCs w:val="21"/>
          <w:lang w:val="en-US" w:eastAsia="zh-CN"/>
        </w:rPr>
        <w:t>6月下旬到7月上旬，</w:t>
      </w:r>
      <w:r>
        <w:rPr>
          <w:rFonts w:hint="eastAsia" w:asciiTheme="minorEastAsia" w:hAnsiTheme="minorEastAsia" w:eastAsiaTheme="minorEastAsia" w:cstheme="minorEastAsia"/>
          <w:lang w:eastAsia="zh-CN"/>
        </w:rPr>
        <w:t>本溪老红根谷子生长出</w:t>
      </w:r>
      <w:r>
        <w:rPr>
          <w:rFonts w:hint="eastAsia" w:asciiTheme="minorEastAsia" w:hAnsiTheme="minorEastAsia" w:eastAsiaTheme="minorEastAsia" w:cstheme="minorEastAsia"/>
          <w:lang w:val="en-US" w:eastAsia="zh-CN"/>
        </w:rPr>
        <w:t>15个</w:t>
      </w:r>
      <w:r>
        <w:rPr>
          <w:rFonts w:hint="eastAsia" w:asciiTheme="minorEastAsia" w:hAnsiTheme="minorEastAsia" w:eastAsiaTheme="minorEastAsia" w:cstheme="minorEastAsia"/>
          <w:sz w:val="21"/>
          <w:szCs w:val="21"/>
          <w:lang w:val="en-US" w:eastAsia="zh-CN"/>
        </w:rPr>
        <w:t>-30个叶片时，高度在40cm-60cm拔节生长前，每</w:t>
      </w:r>
      <w:r>
        <w:rPr>
          <w:rFonts w:hint="eastAsia" w:asciiTheme="minorEastAsia" w:hAnsiTheme="minorEastAsia" w:eastAsiaTheme="minorEastAsia" w:cstheme="minorEastAsia"/>
          <w:lang w:val="en-US" w:eastAsia="zh-CN"/>
        </w:rPr>
        <w:t>667m</w:t>
      </w:r>
      <w:r>
        <w:rPr>
          <w:rFonts w:hint="eastAsia" w:asciiTheme="minorEastAsia" w:hAnsiTheme="minorEastAsia" w:eastAsiaTheme="minorEastAsia" w:cstheme="minorEastAsia"/>
          <w:sz w:val="21"/>
          <w:vertAlign w:val="superscript"/>
          <w:lang w:val="en-US" w:eastAsia="zh-CN"/>
        </w:rPr>
        <w:t>2</w:t>
      </w:r>
      <w:r>
        <w:rPr>
          <w:rFonts w:hint="eastAsia" w:asciiTheme="minorEastAsia" w:hAnsiTheme="minorEastAsia" w:eastAsiaTheme="minorEastAsia" w:cstheme="minorEastAsia"/>
          <w:sz w:val="21"/>
          <w:szCs w:val="21"/>
          <w:lang w:val="en-US" w:eastAsia="zh-CN"/>
        </w:rPr>
        <w:t>在根部施入有机肥</w:t>
      </w:r>
      <w:r>
        <w:rPr>
          <w:rFonts w:hint="eastAsia" w:asciiTheme="minorEastAsia" w:hAnsiTheme="minorEastAsia" w:eastAsiaTheme="minorEastAsia" w:cstheme="minorEastAsia"/>
          <w:lang w:val="en-US" w:eastAsia="zh-CN"/>
        </w:rPr>
        <w:t>75</w:t>
      </w:r>
      <w:r>
        <w:rPr>
          <w:rFonts w:hint="eastAsia" w:asciiTheme="minorEastAsia" w:hAnsiTheme="minorEastAsia" w:eastAsiaTheme="minorEastAsia" w:cstheme="minorEastAsia"/>
          <w:sz w:val="21"/>
          <w:szCs w:val="21"/>
          <w:lang w:val="en-US" w:eastAsia="zh-CN"/>
        </w:rPr>
        <w:t>kg-100kg，深耕一次。</w:t>
      </w:r>
    </w:p>
    <w:p>
      <w:pPr>
        <w:pStyle w:val="18"/>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 病虫害防治</w:t>
      </w:r>
    </w:p>
    <w:p>
      <w:pPr>
        <w:ind w:firstLine="420"/>
        <w:rPr>
          <w:rFonts w:hint="eastAsia"/>
          <w:color w:val="auto"/>
          <w:sz w:val="21"/>
          <w:szCs w:val="21"/>
          <w:lang w:val="en-US" w:eastAsia="zh-CN"/>
        </w:rPr>
      </w:pPr>
      <w:r>
        <w:rPr>
          <w:rFonts w:hint="eastAsia"/>
          <w:color w:val="auto"/>
          <w:sz w:val="21"/>
          <w:szCs w:val="21"/>
          <w:lang w:val="en-US" w:eastAsia="zh-CN"/>
        </w:rPr>
        <w:t>应符合</w:t>
      </w:r>
      <w:r>
        <w:rPr>
          <w:rFonts w:hint="eastAsia" w:asciiTheme="minorEastAsia" w:hAnsiTheme="minorEastAsia" w:eastAsiaTheme="minorEastAsia" w:cstheme="minorEastAsia"/>
          <w:color w:val="auto"/>
          <w:sz w:val="21"/>
          <w:szCs w:val="21"/>
        </w:rPr>
        <w:t>GB/T 8321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NY/T 1276</w:t>
      </w:r>
      <w:r>
        <w:rPr>
          <w:rFonts w:hint="eastAsia"/>
          <w:color w:val="auto"/>
          <w:sz w:val="21"/>
          <w:szCs w:val="21"/>
          <w:lang w:val="en-US" w:eastAsia="zh-CN"/>
        </w:rPr>
        <w:t>的要求。</w:t>
      </w: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5.6 采收</w:t>
      </w:r>
    </w:p>
    <w:p>
      <w:pPr>
        <w:pStyle w:val="18"/>
        <w:rPr>
          <w:rFonts w:hint="default"/>
          <w:lang w:val="en-US" w:eastAsia="zh-CN"/>
        </w:rPr>
      </w:pPr>
      <w:r>
        <w:rPr>
          <w:rFonts w:hint="eastAsia" w:hAnsi="黑体" w:cs="黑体"/>
          <w:sz w:val="21"/>
          <w:szCs w:val="21"/>
          <w:lang w:val="en-US" w:eastAsia="zh-CN"/>
        </w:rPr>
        <w:t>9月下旬至10月上旬，</w:t>
      </w:r>
      <w:r>
        <w:rPr>
          <w:rFonts w:hint="eastAsia" w:asciiTheme="minorEastAsia" w:hAnsiTheme="minorEastAsia" w:eastAsiaTheme="minorEastAsia" w:cstheme="minorEastAsia"/>
          <w:lang w:eastAsia="zh-CN"/>
        </w:rPr>
        <w:t>本溪老红根谷子植株基部叶片变黄，谷穗饱满，籽粒变硬呈黄色时采收。籽粒晾嗮至安全贮存水分，装袋入库。</w:t>
      </w:r>
    </w:p>
    <w:p>
      <w:pPr>
        <w:pStyle w:val="18"/>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 加工</w:t>
      </w:r>
    </w:p>
    <w:p>
      <w:pPr>
        <w:pStyle w:val="18"/>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5.7.1 原料要求</w:t>
      </w:r>
    </w:p>
    <w:p>
      <w:pPr>
        <w:pStyle w:val="18"/>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lang w:val="en-US" w:eastAsia="zh-CN"/>
        </w:rPr>
        <w:t xml:space="preserve"> 本溪老红根谷子应籽粒饱满，含杂物少，水分含量15</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品质应符合GB/T 8232的质量要求。</w:t>
      </w:r>
      <w:r>
        <w:rPr>
          <w:rFonts w:hint="eastAsia" w:asciiTheme="minorEastAsia" w:hAnsiTheme="minorEastAsia" w:eastAsiaTheme="minorEastAsia" w:cstheme="minorEastAsia"/>
          <w:color w:val="000000" w:themeColor="text1"/>
          <w:sz w:val="18"/>
          <w:szCs w:val="18"/>
          <w:vertAlign w:val="baseline"/>
          <w:lang w:val="en-US" w:eastAsia="zh-CN"/>
          <w14:textFill>
            <w14:solidFill>
              <w14:schemeClr w14:val="tx1"/>
            </w14:solidFill>
          </w14:textFill>
        </w:rPr>
        <w:t xml:space="preserve"> </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5.7.2 加工环境</w:t>
      </w:r>
    </w:p>
    <w:p>
      <w:pPr>
        <w:pStyle w:val="18"/>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应符合GB 13122的要求。</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5.7.3 加工程序</w:t>
      </w:r>
    </w:p>
    <w:p>
      <w:pPr>
        <w:pStyle w:val="18"/>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原粮经筛选、磁选、清理去石、杂打包、砻谷、谷糙分离、碾米、皮打包、抛光、分级、色选、检验、定量包装、入库。抛光过程中如需用水应符合GB 5749的要求。</w:t>
      </w:r>
    </w:p>
    <w:p>
      <w:pPr>
        <w:pStyle w:val="18"/>
        <w:keepNext w:val="0"/>
        <w:keepLines w:val="0"/>
        <w:pageBreakBefore w:val="0"/>
        <w:widowControl/>
        <w:kinsoku/>
        <w:wordWrap/>
        <w:overflowPunct/>
        <w:topLinePunct w:val="0"/>
        <w:bidi w:val="0"/>
        <w:adjustRightInd/>
        <w:snapToGrid/>
        <w:spacing w:line="240" w:lineRule="exact"/>
        <w:ind w:left="0" w:leftChars="0" w:firstLine="630" w:firstLineChars="300"/>
        <w:textAlignment w:val="auto"/>
        <w:rPr>
          <w:rFonts w:hint="eastAsia" w:asciiTheme="minorEastAsia" w:hAnsiTheme="minorEastAsia" w:eastAsiaTheme="minorEastAsia" w:cstheme="minorEastAsia"/>
          <w:lang w:val="en-US" w:eastAsia="zh-CN"/>
        </w:rPr>
      </w:pP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 xml:space="preserve">6 质量要求  </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color w:val="000000" w:themeColor="text1"/>
          <w:sz w:val="21"/>
          <w:szCs w:val="21"/>
          <w:lang w:val="en-US" w:eastAsia="zh-CN"/>
          <w14:textFill>
            <w14:solidFill>
              <w14:schemeClr w14:val="tx1"/>
            </w14:solidFill>
          </w14:textFill>
        </w:rPr>
      </w:pP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6.1 </w:t>
      </w:r>
      <w:r>
        <w:rPr>
          <w:rFonts w:hint="eastAsia" w:ascii="黑体" w:hAnsi="黑体" w:eastAsia="黑体" w:cs="黑体"/>
          <w:color w:val="000000" w:themeColor="text1"/>
          <w14:textFill>
            <w14:solidFill>
              <w14:schemeClr w14:val="tx1"/>
            </w14:solidFill>
          </w14:textFill>
        </w:rPr>
        <w:t>感官</w:t>
      </w:r>
      <w:r>
        <w:rPr>
          <w:rFonts w:hint="eastAsia" w:ascii="黑体" w:hAnsi="黑体" w:eastAsia="黑体" w:cs="黑体"/>
          <w:color w:val="000000" w:themeColor="text1"/>
          <w:sz w:val="21"/>
          <w:szCs w:val="21"/>
          <w14:textFill>
            <w14:solidFill>
              <w14:schemeClr w14:val="tx1"/>
            </w14:solidFill>
          </w14:textFill>
        </w:rPr>
        <w:t>要求</w:t>
      </w:r>
    </w:p>
    <w:p>
      <w:pPr>
        <w:pStyle w:val="18"/>
        <w:keepNext w:val="0"/>
        <w:keepLines w:val="0"/>
        <w:pageBreakBefore w:val="0"/>
        <w:widowControl/>
        <w:kinsoku/>
        <w:wordWrap/>
        <w:overflowPunct/>
        <w:topLinePunct w:val="0"/>
        <w:bidi w:val="0"/>
        <w:adjustRightInd/>
        <w:snapToGrid/>
        <w:spacing w:line="240" w:lineRule="exact"/>
        <w:ind w:left="0" w:leftChars="0" w:firstLine="42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颗粒小</w:t>
      </w:r>
      <w:r>
        <w:rPr>
          <w:rFonts w:hint="eastAsia" w:asciiTheme="minorEastAsia" w:hAnsiTheme="minorEastAsia" w:eastAsiaTheme="minorEastAsia" w:cstheme="minorEastAsia"/>
          <w:sz w:val="21"/>
          <w:szCs w:val="21"/>
          <w:lang w:eastAsia="zh-CN"/>
        </w:rPr>
        <w:t>且</w:t>
      </w:r>
      <w:r>
        <w:rPr>
          <w:rFonts w:hint="eastAsia" w:asciiTheme="minorEastAsia" w:hAnsiTheme="minorEastAsia" w:eastAsiaTheme="minorEastAsia" w:cstheme="minorEastAsia"/>
          <w:sz w:val="21"/>
          <w:szCs w:val="21"/>
        </w:rPr>
        <w:t>饱满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直径为2</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左右。呈金黄色或橘黄色，色泽光亮</w:t>
      </w:r>
      <w:r>
        <w:rPr>
          <w:rFonts w:hint="eastAsia" w:asciiTheme="minorEastAsia" w:hAnsiTheme="minorEastAsia" w:eastAsiaTheme="minorEastAsia" w:cstheme="minorEastAsia"/>
          <w:sz w:val="21"/>
          <w:szCs w:val="21"/>
          <w:lang w:eastAsia="zh-CN"/>
        </w:rPr>
        <w:t>，具有本溪老红根小米固有的自然清香,无其他异味。</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6.2 加工质量指标</w:t>
      </w:r>
    </w:p>
    <w:p>
      <w:pPr>
        <w:pStyle w:val="18"/>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应符合表1的规定。</w:t>
      </w:r>
    </w:p>
    <w:p>
      <w:pPr>
        <w:pStyle w:val="18"/>
        <w:rPr>
          <w:rFonts w:hint="eastAsia"/>
          <w:color w:val="000000" w:themeColor="text1"/>
          <w14:textFill>
            <w14:solidFill>
              <w14:schemeClr w14:val="tx1"/>
            </w14:solidFill>
          </w14:textFill>
        </w:rPr>
      </w:pPr>
    </w:p>
    <w:p>
      <w:pPr>
        <w:pStyle w:val="18"/>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1</w:t>
      </w:r>
      <w:r>
        <w:rPr>
          <w:rFonts w:hint="eastAsia" w:ascii="黑体" w:hAnsi="黑体" w:eastAsia="黑体" w:cs="黑体"/>
          <w:color w:val="000000" w:themeColor="text1"/>
          <w14:textFill>
            <w14:solidFill>
              <w14:schemeClr w14:val="tx1"/>
            </w14:solidFill>
          </w14:textFill>
        </w:rPr>
        <w:t xml:space="preserve"> </w:t>
      </w:r>
      <w:r>
        <w:rPr>
          <w:rFonts w:hint="eastAsia" w:ascii="黑体" w:hAnsi="黑体" w:eastAsia="黑体" w:cs="黑体"/>
          <w:sz w:val="21"/>
          <w:szCs w:val="21"/>
          <w:lang w:val="en-US" w:eastAsia="zh-CN"/>
        </w:rPr>
        <w:t>加工质量指标</w:t>
      </w:r>
    </w:p>
    <w:tbl>
      <w:tblPr>
        <w:tblStyle w:val="2"/>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3840"/>
        <w:gridCol w:w="1305"/>
        <w:gridCol w:w="161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4610"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4500" w:type="dxa"/>
            <w:gridSpan w:val="2"/>
            <w:vMerge w:val="continue"/>
            <w:noWrap w:val="0"/>
            <w:vAlign w:val="top"/>
          </w:tcPr>
          <w:p>
            <w:pPr>
              <w:jc w:val="center"/>
              <w:rPr>
                <w:rFonts w:hint="eastAsia" w:asciiTheme="minorEastAsia" w:hAnsiTheme="minorEastAsia" w:eastAsiaTheme="minorEastAsia" w:cstheme="minorEastAsia"/>
                <w:sz w:val="21"/>
                <w:szCs w:val="21"/>
              </w:rPr>
            </w:pPr>
          </w:p>
        </w:tc>
        <w:tc>
          <w:tcPr>
            <w:tcW w:w="13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612"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1693"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加工精度（粒面种皮基本脱掉的颗粒）</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9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w w:val="90"/>
                <w:sz w:val="21"/>
                <w:szCs w:val="21"/>
                <w:vertAlign w:val="baseline"/>
                <w:lang w:val="en-US" w:eastAsia="zh-CN"/>
                <w14:textFill>
                  <w14:solidFill>
                    <w14:schemeClr w14:val="tx1"/>
                  </w14:solidFill>
                </w14:textFill>
              </w:rPr>
              <w:t xml:space="preserve">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不完善粒/%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restart"/>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杂质</w:t>
            </w: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总量/%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0.5</w:t>
            </w:r>
          </w:p>
        </w:tc>
        <w:tc>
          <w:tcPr>
            <w:tcW w:w="1612"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0.7</w:t>
            </w:r>
          </w:p>
        </w:tc>
        <w:tc>
          <w:tcPr>
            <w:tcW w:w="1693"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未脱皮米粒/%                    ≤</w:t>
            </w:r>
          </w:p>
        </w:tc>
        <w:tc>
          <w:tcPr>
            <w:tcW w:w="1305"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0.1</w:t>
            </w:r>
          </w:p>
        </w:tc>
        <w:tc>
          <w:tcPr>
            <w:tcW w:w="1612"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0.2</w:t>
            </w:r>
          </w:p>
        </w:tc>
        <w:tc>
          <w:tcPr>
            <w:tcW w:w="1693" w:type="dxa"/>
            <w:noWrap w:val="0"/>
            <w:vAlign w:val="top"/>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trPr>
        <w:tc>
          <w:tcPr>
            <w:tcW w:w="660" w:type="dxa"/>
            <w:vMerge w:val="continue"/>
            <w:noWrap w:val="0"/>
            <w:vAlign w:val="center"/>
          </w:tcPr>
          <w:p>
            <w:pPr>
              <w:jc w:val="both"/>
              <w:rPr>
                <w:rFonts w:hint="eastAsia" w:asciiTheme="minorEastAsia" w:hAnsiTheme="minorEastAsia" w:eastAsiaTheme="minorEastAsia" w:cstheme="minorEastAsia"/>
                <w:sz w:val="21"/>
                <w:szCs w:val="21"/>
              </w:rPr>
            </w:pPr>
          </w:p>
        </w:tc>
        <w:tc>
          <w:tcPr>
            <w:tcW w:w="384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矿物杂质/%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碎米/%                                ≥</w:t>
            </w:r>
          </w:p>
        </w:tc>
        <w:tc>
          <w:tcPr>
            <w:tcW w:w="1305" w:type="dxa"/>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4.0</w:t>
            </w:r>
          </w:p>
        </w:tc>
        <w:tc>
          <w:tcPr>
            <w:tcW w:w="3305" w:type="dxa"/>
            <w:gridSpan w:val="2"/>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4500" w:type="dxa"/>
            <w:gridSpan w:val="2"/>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水分/%                                ≤</w:t>
            </w:r>
          </w:p>
        </w:tc>
        <w:tc>
          <w:tcPr>
            <w:tcW w:w="4610" w:type="dxa"/>
            <w:gridSpan w:val="3"/>
            <w:noWrap w:val="0"/>
            <w:vAlign w:val="top"/>
          </w:tcPr>
          <w:p>
            <w:pPr>
              <w:jc w:val="center"/>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13</w:t>
            </w:r>
          </w:p>
        </w:tc>
      </w:tr>
    </w:tbl>
    <w:p>
      <w:pPr>
        <w:pStyle w:val="18"/>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p>
    <w:p>
      <w:pPr>
        <w:pStyle w:val="18"/>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6.3 营养指标</w:t>
      </w:r>
    </w:p>
    <w:p>
      <w:pPr>
        <w:pStyle w:val="18"/>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应符合表2的规定。</w:t>
      </w:r>
    </w:p>
    <w:p>
      <w:pPr>
        <w:pStyle w:val="18"/>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2 </w:t>
      </w:r>
      <w:r>
        <w:rPr>
          <w:rFonts w:hint="eastAsia" w:ascii="黑体" w:hAnsi="黑体" w:eastAsia="黑体" w:cs="黑体"/>
          <w:color w:val="000000" w:themeColor="text1"/>
          <w:sz w:val="21"/>
          <w:szCs w:val="21"/>
          <w:lang w:val="en-US" w:eastAsia="zh-CN"/>
          <w14:textFill>
            <w14:solidFill>
              <w14:schemeClr w14:val="tx1"/>
            </w14:solidFill>
          </w14:textFill>
        </w:rPr>
        <w:t>营养指标</w:t>
      </w:r>
    </w:p>
    <w:tbl>
      <w:tblPr>
        <w:tblStyle w:val="2"/>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0"/>
        <w:gridCol w:w="1704"/>
        <w:gridCol w:w="2105"/>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950"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6020" w:type="dxa"/>
            <w:gridSpan w:val="3"/>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2950" w:type="dxa"/>
            <w:vMerge w:val="continue"/>
            <w:noWrap w:val="0"/>
            <w:vAlign w:val="top"/>
          </w:tcPr>
          <w:p>
            <w:pPr>
              <w:jc w:val="center"/>
            </w:pPr>
          </w:p>
        </w:tc>
        <w:tc>
          <w:tcPr>
            <w:tcW w:w="1704" w:type="dxa"/>
            <w:noWrap w:val="0"/>
            <w:vAlign w:val="top"/>
          </w:tcPr>
          <w:p>
            <w:pPr>
              <w:jc w:val="cente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211" w:type="dxa"/>
            <w:noWrap w:val="0"/>
            <w:vAlign w:val="top"/>
          </w:tcPr>
          <w:p>
            <w:pPr>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2950"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蛋白质</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w:t>
            </w:r>
          </w:p>
        </w:tc>
        <w:tc>
          <w:tcPr>
            <w:tcW w:w="1704"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12.0</w:t>
            </w:r>
          </w:p>
        </w:tc>
        <w:tc>
          <w:tcPr>
            <w:tcW w:w="2105"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11.5</w:t>
            </w:r>
          </w:p>
        </w:tc>
        <w:tc>
          <w:tcPr>
            <w:tcW w:w="2211"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auto"/>
                <w:sz w:val="21"/>
                <w:szCs w:val="21"/>
                <w:vertAlign w:val="baseline"/>
                <w:lang w:val="en-US" w:eastAsia="zh-CN"/>
              </w:rPr>
              <w:t>脂肪</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东文宋体" w:hAnsi="东文宋体" w:eastAsia="东文宋体" w:cs="东文宋体"/>
                <w:color w:val="000000" w:themeColor="text1"/>
                <w:sz w:val="21"/>
                <w:szCs w:val="21"/>
                <w:vertAlign w:val="baseline"/>
                <w:lang w:val="en-US" w:eastAsia="zh-CN"/>
                <w14:textFill>
                  <w14:solidFill>
                    <w14:schemeClr w14:val="tx1"/>
                  </w14:solidFill>
                </w14:textFill>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2.7</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center"/>
          </w:tcPr>
          <w:p>
            <w:pPr>
              <w:jc w:val="both"/>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rPr>
              <w:t>β—胡萝卜素</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sz w:val="21"/>
                <w:szCs w:val="21"/>
                <w:vertAlign w:val="baseline"/>
                <w:lang w:val="en-US" w:eastAsia="zh-CN"/>
              </w:rPr>
              <w:t>≥</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47.2</w:t>
            </w:r>
          </w:p>
        </w:tc>
        <w:tc>
          <w:tcPr>
            <w:tcW w:w="2105"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40.0</w:t>
            </w:r>
          </w:p>
        </w:tc>
        <w:tc>
          <w:tcPr>
            <w:tcW w:w="2211" w:type="dxa"/>
            <w:noWrap w:val="0"/>
            <w:vAlign w:val="top"/>
          </w:tcPr>
          <w:p>
            <w:pPr>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default"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vertAlign w:val="baseline"/>
                <w:lang w:val="en-US" w:eastAsia="zh-CN"/>
              </w:rPr>
              <w:t>维生素B</w:t>
            </w:r>
            <w:r>
              <w:rPr>
                <w:rFonts w:hint="eastAsia" w:asciiTheme="minorEastAsia" w:hAnsiTheme="minorEastAsia" w:eastAsiaTheme="minorEastAsia" w:cstheme="minorEastAsia"/>
                <w:color w:val="000000"/>
                <w:sz w:val="21"/>
                <w:szCs w:val="21"/>
                <w:vertAlign w:val="subscript"/>
                <w:lang w:val="en-US" w:eastAsia="zh-CN"/>
              </w:rPr>
              <w:t xml:space="preserve"> 1 </w:t>
            </w:r>
            <w:r>
              <w:rPr>
                <w:rFonts w:hint="eastAsia" w:ascii="仿宋" w:hAnsi="仿宋" w:eastAsia="仿宋" w:cs="仿宋"/>
                <w:color w:val="000000" w:themeColor="text1"/>
                <w:sz w:val="21"/>
                <w:szCs w:val="21"/>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sz w:val="21"/>
                <w:szCs w:val="21"/>
                <w:vertAlign w:val="baseline"/>
                <w:lang w:val="en-US" w:eastAsia="zh-CN"/>
              </w:rPr>
              <w:t xml:space="preserve">(mg/100g)     ≥            </w:t>
            </w:r>
          </w:p>
        </w:tc>
        <w:tc>
          <w:tcPr>
            <w:tcW w:w="1704" w:type="dxa"/>
            <w:noWrap w:val="0"/>
            <w:vAlign w:val="top"/>
          </w:tcPr>
          <w:p>
            <w:pPr>
              <w:jc w:val="cente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0.204</w:t>
            </w:r>
          </w:p>
        </w:tc>
        <w:tc>
          <w:tcPr>
            <w:tcW w:w="2105"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0.202</w:t>
            </w:r>
          </w:p>
        </w:tc>
        <w:tc>
          <w:tcPr>
            <w:tcW w:w="2211" w:type="dxa"/>
            <w:noWrap w:val="0"/>
            <w:vAlign w:val="top"/>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50" w:type="dxa"/>
            <w:noWrap w:val="0"/>
            <w:vAlign w:val="top"/>
          </w:tcPr>
          <w:p>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维生素B</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vertAlign w:val="baseline"/>
                <w:lang w:val="en-US" w:eastAsia="zh-CN"/>
              </w:rPr>
              <w:t xml:space="preserve"> </w:t>
            </w:r>
            <w:r>
              <w:rPr>
                <w:rFonts w:hint="eastAsia" w:ascii="仿宋" w:hAnsi="仿宋" w:eastAsia="仿宋" w:cs="仿宋"/>
                <w:color w:val="auto"/>
                <w:sz w:val="21"/>
                <w:szCs w:val="21"/>
                <w:vertAlign w:val="baseline"/>
                <w:lang w:val="en-US" w:eastAsia="zh-CN"/>
              </w:rPr>
              <w:t>/</w:t>
            </w:r>
            <w:r>
              <w:rPr>
                <w:rFonts w:hint="eastAsia" w:asciiTheme="minorEastAsia" w:hAnsiTheme="minorEastAsia" w:eastAsiaTheme="minorEastAsia" w:cstheme="minorEastAsia"/>
                <w:color w:val="auto"/>
                <w:sz w:val="21"/>
                <w:szCs w:val="21"/>
                <w:vertAlign w:val="baseline"/>
                <w:lang w:val="en-US" w:eastAsia="zh-CN"/>
              </w:rPr>
              <w:t xml:space="preserve">(mg/100g)     ≥              </w:t>
            </w:r>
          </w:p>
        </w:tc>
        <w:tc>
          <w:tcPr>
            <w:tcW w:w="1704"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0.0843</w:t>
            </w:r>
          </w:p>
        </w:tc>
        <w:tc>
          <w:tcPr>
            <w:tcW w:w="2105"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0.0841</w:t>
            </w:r>
          </w:p>
        </w:tc>
        <w:tc>
          <w:tcPr>
            <w:tcW w:w="2211" w:type="dxa"/>
            <w:noWrap w:val="0"/>
            <w:vAlign w:val="center"/>
          </w:tcPr>
          <w:p>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0.0839</w:t>
            </w:r>
          </w:p>
        </w:tc>
      </w:tr>
    </w:tbl>
    <w:p>
      <w:pPr>
        <w:pStyle w:val="18"/>
        <w:keepNext w:val="0"/>
        <w:keepLines w:val="0"/>
        <w:pageBreakBefore w:val="0"/>
        <w:widowControl/>
        <w:kinsoku/>
        <w:wordWrap/>
        <w:overflowPunct/>
        <w:topLinePunct w:val="0"/>
        <w:bidi w:val="0"/>
        <w:adjustRightInd/>
        <w:snapToGrid/>
        <w:spacing w:line="240" w:lineRule="exact"/>
        <w:textAlignment w:val="auto"/>
        <w:rPr>
          <w:rFonts w:hint="eastAsia" w:asciiTheme="minorEastAsia" w:hAnsiTheme="minorEastAsia" w:eastAsiaTheme="minorEastAsia" w:cstheme="minorEastAsia"/>
          <w:sz w:val="21"/>
          <w:szCs w:val="21"/>
          <w:lang w:val="en-US" w:eastAsia="zh-CN"/>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6.4 蒸煮品质</w:t>
      </w:r>
    </w:p>
    <w:p>
      <w:pPr>
        <w:pStyle w:val="18"/>
        <w:keepNext w:val="0"/>
        <w:keepLines w:val="0"/>
        <w:pageBreakBefore w:val="0"/>
        <w:widowControl/>
        <w:kinsoku/>
        <w:wordWrap/>
        <w:overflowPunct/>
        <w:topLinePunct w:val="0"/>
        <w:bidi w:val="0"/>
        <w:adjustRightInd/>
        <w:snapToGrid/>
        <w:spacing w:line="240" w:lineRule="exact"/>
        <w:ind w:left="0"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应符合表3的规定。</w:t>
      </w:r>
    </w:p>
    <w:p>
      <w:pPr>
        <w:pStyle w:val="18"/>
        <w:ind w:firstLine="3780" w:firstLineChars="18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表</w:t>
      </w:r>
      <w:r>
        <w:rPr>
          <w:rFonts w:hint="eastAsia" w:ascii="黑体" w:hAnsi="黑体" w:eastAsia="黑体" w:cs="黑体"/>
          <w:color w:val="000000" w:themeColor="text1"/>
          <w:lang w:val="en-US" w:eastAsia="zh-CN"/>
          <w14:textFill>
            <w14:solidFill>
              <w14:schemeClr w14:val="tx1"/>
            </w14:solidFill>
          </w14:textFill>
        </w:rPr>
        <w:t xml:space="preserve">3 </w:t>
      </w:r>
      <w:r>
        <w:rPr>
          <w:rFonts w:hint="eastAsia" w:ascii="黑体" w:hAnsi="黑体" w:eastAsia="黑体" w:cs="黑体"/>
          <w:color w:val="000000" w:themeColor="text1"/>
          <w:sz w:val="21"/>
          <w:szCs w:val="21"/>
          <w:lang w:val="en-US" w:eastAsia="zh-CN"/>
          <w14:textFill>
            <w14:solidFill>
              <w14:schemeClr w14:val="tx1"/>
            </w14:solidFill>
          </w14:textFill>
        </w:rPr>
        <w:t xml:space="preserve"> 蒸煮品质</w:t>
      </w:r>
    </w:p>
    <w:tbl>
      <w:tblPr>
        <w:tblStyle w:val="2"/>
        <w:tblW w:w="0" w:type="auto"/>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45"/>
        <w:gridCol w:w="1680"/>
        <w:gridCol w:w="1837"/>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445" w:type="dxa"/>
            <w:vMerge w:val="restart"/>
            <w:noWrap w:val="0"/>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 目</w:t>
            </w:r>
          </w:p>
        </w:tc>
        <w:tc>
          <w:tcPr>
            <w:tcW w:w="5525" w:type="dxa"/>
            <w:gridSpan w:val="3"/>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445" w:type="dxa"/>
            <w:vMerge w:val="continue"/>
            <w:noWrap w:val="0"/>
            <w:vAlign w:val="top"/>
          </w:tcPr>
          <w:p>
            <w:pPr>
              <w:jc w:val="center"/>
              <w:rPr>
                <w:rFonts w:hint="eastAsia" w:asciiTheme="minorEastAsia" w:hAnsiTheme="minorEastAsia" w:eastAsiaTheme="minorEastAsia" w:cstheme="minorEastAsia"/>
                <w:sz w:val="21"/>
                <w:szCs w:val="21"/>
              </w:rPr>
            </w:pPr>
          </w:p>
        </w:tc>
        <w:tc>
          <w:tcPr>
            <w:tcW w:w="1680"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一级</w:t>
            </w:r>
          </w:p>
        </w:tc>
        <w:tc>
          <w:tcPr>
            <w:tcW w:w="1837" w:type="dxa"/>
            <w:noWrap w:val="0"/>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二级</w:t>
            </w:r>
          </w:p>
        </w:tc>
        <w:tc>
          <w:tcPr>
            <w:tcW w:w="2008" w:type="dxa"/>
            <w:noWrap w:val="0"/>
            <w:vAlign w:val="top"/>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center"/>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sz w:val="21"/>
                <w:szCs w:val="21"/>
              </w:rPr>
              <w:t>直链淀粉</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12.8</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45" w:type="dxa"/>
            <w:noWrap w:val="0"/>
            <w:vAlign w:val="top"/>
          </w:tcPr>
          <w:p>
            <w:pPr>
              <w:jc w:val="both"/>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胶稠度/mm                  ≥</w:t>
            </w:r>
          </w:p>
        </w:tc>
        <w:tc>
          <w:tcPr>
            <w:tcW w:w="1680"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95</w:t>
            </w:r>
          </w:p>
        </w:tc>
        <w:tc>
          <w:tcPr>
            <w:tcW w:w="1837"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90</w:t>
            </w:r>
          </w:p>
        </w:tc>
        <w:tc>
          <w:tcPr>
            <w:tcW w:w="2008" w:type="dxa"/>
            <w:noWrap w:val="0"/>
            <w:vAlign w:val="top"/>
          </w:tcPr>
          <w:p>
            <w:pPr>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85</w:t>
            </w:r>
          </w:p>
        </w:tc>
      </w:tr>
    </w:tbl>
    <w:p>
      <w:pPr>
        <w:rPr>
          <w:rFonts w:hint="default" w:ascii="黑体" w:hAnsi="黑体" w:eastAsia="黑体" w:cs="黑体"/>
          <w:color w:val="000000" w:themeColor="text1"/>
          <w:sz w:val="21"/>
          <w:szCs w:val="21"/>
          <w:lang w:val="en-US" w:eastAsia="zh-CN"/>
          <w14:textFill>
            <w14:solidFill>
              <w14:schemeClr w14:val="tx1"/>
            </w14:solidFill>
          </w14:textFill>
        </w:rPr>
      </w:pP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6.5 食品安全指标</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应符合GB2715的规定。</w:t>
      </w:r>
    </w:p>
    <w:p>
      <w:pPr>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6.6 净含量</w:t>
      </w:r>
    </w:p>
    <w:p>
      <w:pPr>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应符合《定量包装商品计量监督管理办法》的规定。</w:t>
      </w:r>
    </w:p>
    <w:bookmarkEnd w:id="33"/>
    <w:bookmarkEnd w:id="34"/>
    <w:bookmarkEnd w:id="35"/>
    <w:bookmarkEnd w:id="36"/>
    <w:p>
      <w:pPr>
        <w:pStyle w:val="18"/>
        <w:ind w:left="0" w:leftChars="0" w:firstLine="0" w:firstLineChars="0"/>
        <w:rPr>
          <w:rFonts w:hint="eastAsia"/>
        </w:rPr>
      </w:pP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7 检验方法</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val="en-US" w:eastAsia="zh-CN"/>
        </w:rPr>
      </w:pPr>
    </w:p>
    <w:p>
      <w:pPr>
        <w:pStyle w:val="24"/>
        <w:keepNext w:val="0"/>
        <w:keepLines w:val="0"/>
        <w:pageBreakBefore w:val="0"/>
        <w:widowControl/>
        <w:numPr>
          <w:ilvl w:val="1"/>
          <w:numId w:val="0"/>
        </w:numPr>
        <w:kinsoku/>
        <w:wordWrap/>
        <w:overflowPunct/>
        <w:topLinePunct w:val="0"/>
        <w:bidi w:val="0"/>
        <w:adjustRightInd/>
        <w:snapToGrid/>
        <w:spacing w:line="240" w:lineRule="exact"/>
        <w:ind w:leftChars="0"/>
        <w:textAlignment w:val="auto"/>
        <w:rPr>
          <w:rFonts w:hint="eastAsia"/>
        </w:rPr>
      </w:pPr>
      <w:r>
        <w:rPr>
          <w:rFonts w:hint="eastAsia" w:hAnsi="黑体" w:cs="黑体"/>
          <w:lang w:val="en-US" w:eastAsia="zh-CN"/>
        </w:rPr>
        <w:t>7</w:t>
      </w:r>
      <w:r>
        <w:rPr>
          <w:rFonts w:hint="eastAsia" w:ascii="黑体" w:hAnsi="黑体" w:eastAsia="黑体" w:cs="黑体"/>
          <w:lang w:val="en-US" w:eastAsia="zh-CN"/>
        </w:rPr>
        <w:t xml:space="preserve">.1 </w:t>
      </w:r>
      <w:r>
        <w:rPr>
          <w:rFonts w:hint="eastAsia"/>
        </w:rPr>
        <w:t>组批、扦样</w:t>
      </w:r>
    </w:p>
    <w:p>
      <w:pPr>
        <w:pStyle w:val="24"/>
        <w:keepNext w:val="0"/>
        <w:keepLines w:val="0"/>
        <w:pageBreakBefore w:val="0"/>
        <w:widowControl/>
        <w:numPr>
          <w:ilvl w:val="1"/>
          <w:numId w:val="0"/>
        </w:numPr>
        <w:kinsoku/>
        <w:wordWrap/>
        <w:overflowPunct/>
        <w:topLinePunct w:val="0"/>
        <w:bidi w:val="0"/>
        <w:adjustRightInd/>
        <w:snapToGrid/>
        <w:spacing w:line="24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rPr>
        <w:t>GB/T 5491</w:t>
      </w:r>
      <w:r>
        <w:rPr>
          <w:rFonts w:hint="eastAsia" w:ascii="宋体" w:hAnsi="宋体" w:eastAsia="宋体" w:cs="宋体"/>
          <w:sz w:val="21"/>
          <w:szCs w:val="21"/>
          <w:lang w:eastAsia="zh-CN"/>
        </w:rPr>
        <w:t>规定的方法</w:t>
      </w:r>
      <w:r>
        <w:rPr>
          <w:rFonts w:hint="eastAsia" w:asciiTheme="minorEastAsia" w:hAnsiTheme="minorEastAsia" w:eastAsiaTheme="minorEastAsia" w:cstheme="minorEastAsia"/>
        </w:rPr>
        <w:t>执行</w:t>
      </w:r>
      <w:r>
        <w:rPr>
          <w:rFonts w:hint="eastAsia" w:asciiTheme="minorEastAsia" w:hAnsiTheme="minorEastAsia" w:eastAsiaTheme="minorEastAsia" w:cstheme="minorEastAsia"/>
          <w:lang w:eastAsia="zh-CN"/>
        </w:rPr>
        <w:t>。</w:t>
      </w:r>
    </w:p>
    <w:p>
      <w:pPr>
        <w:pStyle w:val="18"/>
        <w:keepNext w:val="0"/>
        <w:keepLines w:val="0"/>
        <w:pageBreakBefore w:val="0"/>
        <w:widowControl/>
        <w:kinsoku/>
        <w:wordWrap/>
        <w:overflowPunct/>
        <w:topLinePunct w:val="0"/>
        <w:bidi w:val="0"/>
        <w:adjustRightInd/>
        <w:snapToGrid/>
        <w:spacing w:line="240" w:lineRule="exact"/>
        <w:ind w:left="0" w:leftChars="0" w:firstLine="0" w:firstLineChars="0"/>
        <w:textAlignment w:val="auto"/>
        <w:rPr>
          <w:rFonts w:hint="eastAsia" w:ascii="黑体" w:hAnsi="黑体" w:eastAsia="黑体" w:cs="黑体"/>
          <w:lang w:eastAsia="zh-CN"/>
        </w:rPr>
      </w:pPr>
      <w:bookmarkStart w:id="39" w:name="_Toc72853268"/>
      <w:bookmarkStart w:id="40" w:name="_Toc75855920"/>
      <w:bookmarkStart w:id="41" w:name="_Toc75855858"/>
      <w:bookmarkStart w:id="42" w:name="_Toc79493351"/>
      <w:bookmarkStart w:id="43" w:name="_Toc75855953"/>
      <w:r>
        <w:rPr>
          <w:rFonts w:hint="eastAsia" w:ascii="黑体" w:hAnsi="黑体" w:eastAsia="黑体" w:cs="黑体"/>
          <w:lang w:val="en-US" w:eastAsia="zh-CN"/>
        </w:rPr>
        <w:t xml:space="preserve">7.2 </w:t>
      </w:r>
      <w:r>
        <w:rPr>
          <w:rFonts w:hint="eastAsia" w:ascii="黑体" w:hAnsi="黑体" w:eastAsia="黑体" w:cs="黑体"/>
          <w:lang w:eastAsia="zh-CN"/>
        </w:rPr>
        <w:t>感官要求</w:t>
      </w:r>
    </w:p>
    <w:p>
      <w:pPr>
        <w:pStyle w:val="18"/>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lang w:val="en-US" w:eastAsia="zh-CN"/>
        </w:rPr>
        <w:t>GB/T 5492</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lang w:val="en-US" w:eastAsia="zh-CN"/>
        </w:rPr>
        <w:t>。</w:t>
      </w:r>
    </w:p>
    <w:p>
      <w:pPr>
        <w:pStyle w:val="18"/>
        <w:ind w:left="0" w:leftChars="0" w:firstLine="0" w:firstLineChars="0"/>
        <w:rPr>
          <w:rFonts w:hint="eastAsia"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lang w:val="en-US" w:eastAsia="zh-CN"/>
        </w:rPr>
        <w:t xml:space="preserve">7.3 </w:t>
      </w:r>
      <w:r>
        <w:rPr>
          <w:rFonts w:hint="eastAsia" w:ascii="黑体" w:hAnsi="黑体" w:eastAsia="黑体" w:cs="黑体"/>
          <w:sz w:val="21"/>
          <w:szCs w:val="21"/>
          <w:lang w:val="en-US" w:eastAsia="zh-CN"/>
        </w:rPr>
        <w:t>加工质量指标</w:t>
      </w:r>
    </w:p>
    <w:p>
      <w:pP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7.3.1</w:t>
      </w:r>
      <w:r>
        <w:rPr>
          <w:rFonts w:hint="eastAsia" w:ascii="黑体" w:hAnsi="黑体" w:eastAsia="黑体" w:cs="黑体"/>
          <w:w w:val="100"/>
          <w:sz w:val="21"/>
          <w:szCs w:val="21"/>
          <w:lang w:val="en-US" w:eastAsia="zh-CN"/>
        </w:rPr>
        <w:t xml:space="preserve"> </w:t>
      </w: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加工精度（粒面种皮基本脱掉的颗粒）</w:t>
      </w:r>
    </w:p>
    <w:p>
      <w:pPr>
        <w:rPr>
          <w:rFonts w:hint="default" w:ascii="黑体" w:hAnsi="黑体" w:eastAsia="黑体" w:cs="黑体"/>
          <w:color w:val="000000" w:themeColor="text1"/>
          <w:spacing w:val="0"/>
          <w:w w:val="100"/>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GB/T 11766</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pacing w:val="0"/>
          <w:w w:val="100"/>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7.3.2</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不完善粒</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7.3.3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杂质</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GB/T 5494</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7.3.4 </w:t>
      </w:r>
      <w:r>
        <w:rPr>
          <w:rFonts w:hint="eastAsia" w:ascii="黑体" w:hAnsi="黑体" w:eastAsia="黑体" w:cs="黑体"/>
          <w:color w:val="000000"/>
          <w:sz w:val="21"/>
          <w:szCs w:val="21"/>
          <w:vertAlign w:val="baseline"/>
          <w:lang w:val="en-US" w:eastAsia="zh-CN"/>
        </w:rPr>
        <w:t>碎米</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sz w:val="21"/>
          <w:szCs w:val="21"/>
          <w:vertAlign w:val="baseline"/>
          <w:lang w:val="en-US" w:eastAsia="zh-CN"/>
        </w:rPr>
        <w:t>GB/T 5503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sz w:val="21"/>
          <w:szCs w:val="21"/>
          <w:vertAlign w:val="baseline"/>
          <w:lang w:val="en-US" w:eastAsia="zh-CN"/>
        </w:rPr>
        <w:t>。</w:t>
      </w:r>
    </w:p>
    <w:p>
      <w:pPr>
        <w:rPr>
          <w:rFonts w:hint="eastAsia"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sz w:val="21"/>
          <w:szCs w:val="21"/>
          <w:lang w:val="en-US" w:eastAsia="zh-CN"/>
        </w:rPr>
        <w:t xml:space="preserve">7.3.5 </w:t>
      </w:r>
      <w:r>
        <w:rPr>
          <w:rFonts w:hint="eastAsia" w:ascii="黑体" w:hAnsi="黑体" w:eastAsia="黑体" w:cs="黑体"/>
          <w:color w:val="000000" w:themeColor="text1"/>
          <w:sz w:val="21"/>
          <w:szCs w:val="21"/>
          <w:vertAlign w:val="baseline"/>
          <w:lang w:val="en-US" w:eastAsia="zh-CN"/>
          <w14:textFill>
            <w14:solidFill>
              <w14:schemeClr w14:val="tx1"/>
            </w14:solidFill>
          </w14:textFill>
        </w:rPr>
        <w:t>水分</w:t>
      </w:r>
    </w:p>
    <w:p>
      <w:pPr>
        <w:rPr>
          <w:rFonts w:hint="default" w:ascii="黑体" w:hAnsi="黑体" w:eastAsia="黑体" w:cs="黑体"/>
          <w:color w:val="000000" w:themeColor="text1"/>
          <w:sz w:val="21"/>
          <w:szCs w:val="21"/>
          <w:vertAlign w:val="baseline"/>
          <w:lang w:val="en-US" w:eastAsia="zh-CN"/>
          <w14:textFill>
            <w14:solidFill>
              <w14:schemeClr w14:val="tx1"/>
            </w14:solidFill>
          </w14:textFill>
        </w:rPr>
      </w:pPr>
      <w:r>
        <w:rPr>
          <w:rFonts w:hint="eastAsia" w:ascii="黑体" w:hAnsi="黑体" w:eastAsia="黑体" w:cs="黑体"/>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GB 5009.3</w:t>
      </w:r>
      <w:r>
        <w:rPr>
          <w:rFonts w:hint="eastAsia" w:ascii="宋体" w:hAnsi="宋体" w:eastAsia="宋体" w:cs="宋体"/>
          <w:sz w:val="21"/>
          <w:szCs w:val="21"/>
          <w:lang w:eastAsia="zh-CN"/>
        </w:rPr>
        <w:t>规定的方法检验</w:t>
      </w: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w:t>
      </w:r>
    </w:p>
    <w:p>
      <w:pPr>
        <w:rPr>
          <w:rFonts w:hint="eastAsia" w:ascii="黑体" w:hAnsi="黑体" w:eastAsia="黑体" w:cs="黑体"/>
          <w:color w:val="000000"/>
          <w:sz w:val="21"/>
          <w:szCs w:val="21"/>
          <w:vertAlign w:val="baseline"/>
          <w:lang w:val="en-US" w:eastAsia="zh-CN"/>
        </w:rPr>
      </w:pPr>
      <w:r>
        <w:rPr>
          <w:rFonts w:hint="eastAsia" w:ascii="黑体" w:hAnsi="黑体" w:eastAsia="黑体" w:cs="黑体"/>
          <w:sz w:val="21"/>
          <w:szCs w:val="21"/>
          <w:lang w:val="en-US" w:eastAsia="zh-CN"/>
        </w:rPr>
        <w:t xml:space="preserve">7.4 </w:t>
      </w:r>
      <w:r>
        <w:rPr>
          <w:rFonts w:hint="eastAsia" w:ascii="黑体" w:hAnsi="黑体" w:eastAsia="黑体" w:cs="黑体"/>
          <w:color w:val="000000"/>
          <w:sz w:val="21"/>
          <w:szCs w:val="21"/>
          <w:vertAlign w:val="baseline"/>
          <w:lang w:val="en-US" w:eastAsia="zh-CN"/>
        </w:rPr>
        <w:t>营养指标</w:t>
      </w:r>
    </w:p>
    <w:p>
      <w:pPr>
        <w:rPr>
          <w:rFonts w:hint="default" w:ascii="黑体" w:hAnsi="黑体" w:eastAsia="黑体" w:cs="黑体"/>
          <w:color w:val="000000"/>
          <w:sz w:val="21"/>
          <w:szCs w:val="21"/>
          <w:vertAlign w:val="baseline"/>
          <w:lang w:val="en-US" w:eastAsia="zh-CN"/>
        </w:rPr>
      </w:pPr>
      <w:r>
        <w:rPr>
          <w:rFonts w:hint="eastAsia" w:ascii="黑体" w:hAnsi="黑体" w:eastAsia="黑体" w:cs="黑体"/>
          <w:color w:val="000000"/>
          <w:sz w:val="21"/>
          <w:szCs w:val="21"/>
          <w:vertAlign w:val="baseline"/>
          <w:lang w:val="en-US" w:eastAsia="zh-CN"/>
        </w:rPr>
        <w:t>7.4.1  蛋白质</w:t>
      </w:r>
    </w:p>
    <w:p>
      <w:pPr>
        <w:pStyle w:val="18"/>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hAnsi="宋体" w:cs="宋体"/>
          <w:sz w:val="21"/>
          <w:szCs w:val="21"/>
          <w:lang w:val="en-US" w:eastAsia="zh-CN"/>
        </w:rPr>
        <w:t>5</w:t>
      </w:r>
      <w:r>
        <w:rPr>
          <w:rFonts w:hint="eastAsia" w:ascii="宋体" w:hAnsi="宋体" w:eastAsia="宋体" w:cs="宋体"/>
          <w:sz w:val="21"/>
          <w:szCs w:val="21"/>
          <w:lang w:eastAsia="zh-CN"/>
        </w:rPr>
        <w:t>规定的方法检验。</w:t>
      </w:r>
    </w:p>
    <w:p>
      <w:pPr>
        <w:pStyle w:val="18"/>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7.4.2 脂肪</w:t>
      </w:r>
    </w:p>
    <w:p>
      <w:pPr>
        <w:pStyle w:val="18"/>
        <w:ind w:left="0" w:leftChars="0" w:firstLine="0" w:firstLineChars="0"/>
        <w:rPr>
          <w:rFonts w:hint="eastAsia" w:ascii="宋体" w:hAnsi="宋体" w:eastAsia="宋体" w:cs="宋体"/>
          <w:sz w:val="21"/>
          <w:szCs w:val="21"/>
          <w:lang w:eastAsia="zh-CN"/>
        </w:rPr>
      </w:pPr>
      <w:r>
        <w:rPr>
          <w:rFonts w:hint="eastAsia" w:hAnsi="宋体" w:cs="宋体"/>
          <w:sz w:val="21"/>
          <w:szCs w:val="21"/>
          <w:lang w:val="en-US" w:eastAsia="zh-CN"/>
        </w:rPr>
        <w:t xml:space="preserve">     </w:t>
      </w:r>
      <w:r>
        <w:rPr>
          <w:rFonts w:hint="eastAsia" w:ascii="黑体" w:hAnsi="黑体" w:eastAsia="黑体" w:cs="黑体"/>
          <w:color w:val="000000"/>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5009.</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规定的方法检验。</w:t>
      </w:r>
    </w:p>
    <w:p>
      <w:pPr>
        <w:pStyle w:val="18"/>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7.4.3 </w:t>
      </w:r>
      <w:r>
        <w:rPr>
          <w:rFonts w:hint="eastAsia" w:ascii="黑体" w:hAnsi="黑体" w:eastAsia="黑体" w:cs="黑体"/>
          <w:sz w:val="21"/>
          <w:szCs w:val="21"/>
        </w:rPr>
        <w:t>β—胡萝卜素</w:t>
      </w:r>
    </w:p>
    <w:p>
      <w:pPr>
        <w:pStyle w:val="18"/>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5009.83</w:t>
      </w:r>
      <w:r>
        <w:rPr>
          <w:rFonts w:hint="eastAsia" w:ascii="宋体" w:hAnsi="宋体" w:eastAsia="宋体" w:cs="宋体"/>
          <w:sz w:val="21"/>
          <w:szCs w:val="21"/>
          <w:lang w:eastAsia="zh-CN"/>
        </w:rPr>
        <w:t>规定的方法检验。</w:t>
      </w:r>
    </w:p>
    <w:p>
      <w:pPr>
        <w:pStyle w:val="18"/>
        <w:ind w:left="0" w:leftChars="0" w:firstLine="0" w:firstLineChars="0"/>
        <w:rPr>
          <w:rFonts w:hint="eastAsia" w:ascii="黑体" w:hAnsi="黑体" w:eastAsia="黑体" w:cs="黑体"/>
          <w:color w:val="000000"/>
          <w:sz w:val="21"/>
          <w:szCs w:val="21"/>
          <w:vertAlign w:val="subscript"/>
          <w:lang w:val="en-US" w:eastAsia="zh-CN"/>
        </w:rPr>
      </w:pPr>
      <w:r>
        <w:rPr>
          <w:rFonts w:hint="eastAsia" w:ascii="黑体" w:hAnsi="黑体" w:eastAsia="黑体" w:cs="黑体"/>
          <w:sz w:val="21"/>
          <w:szCs w:val="21"/>
          <w:lang w:val="en-US" w:eastAsia="zh-CN"/>
        </w:rPr>
        <w:t xml:space="preserve">7.4.5 </w:t>
      </w:r>
      <w:r>
        <w:rPr>
          <w:rFonts w:hint="eastAsia" w:ascii="黑体" w:hAnsi="黑体" w:eastAsia="黑体" w:cs="黑体"/>
          <w:color w:val="000000"/>
          <w:sz w:val="21"/>
          <w:szCs w:val="21"/>
          <w:vertAlign w:val="baseline"/>
          <w:lang w:val="en-US" w:eastAsia="zh-CN"/>
        </w:rPr>
        <w:t>维生素B</w:t>
      </w:r>
      <w:r>
        <w:rPr>
          <w:rFonts w:hint="eastAsia" w:ascii="黑体" w:hAnsi="黑体" w:eastAsia="黑体" w:cs="黑体"/>
          <w:color w:val="000000"/>
          <w:sz w:val="21"/>
          <w:szCs w:val="21"/>
          <w:vertAlign w:val="subscript"/>
          <w:lang w:val="en-US" w:eastAsia="zh-CN"/>
        </w:rPr>
        <w:t xml:space="preserve"> 1</w:t>
      </w:r>
    </w:p>
    <w:p>
      <w:pPr>
        <w:pStyle w:val="18"/>
        <w:ind w:left="0" w:leftChars="0" w:firstLine="0" w:firstLineChars="0"/>
        <w:rPr>
          <w:rFonts w:hint="eastAsia" w:ascii="宋体" w:hAnsi="宋体" w:eastAsia="宋体" w:cs="宋体"/>
          <w:sz w:val="21"/>
          <w:szCs w:val="21"/>
          <w:lang w:eastAsia="zh-CN"/>
        </w:rPr>
      </w:pPr>
      <w:r>
        <w:rPr>
          <w:rFonts w:hint="eastAsia" w:ascii="黑体" w:hAnsi="黑体" w:eastAsia="黑体" w:cs="黑体"/>
          <w:color w:val="000000"/>
          <w:sz w:val="21"/>
          <w:szCs w:val="21"/>
          <w:vertAlign w:val="subscript"/>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5009.84</w:t>
      </w:r>
      <w:r>
        <w:rPr>
          <w:rFonts w:hint="eastAsia" w:ascii="宋体" w:hAnsi="宋体" w:eastAsia="宋体" w:cs="宋体"/>
          <w:sz w:val="21"/>
          <w:szCs w:val="21"/>
          <w:lang w:eastAsia="zh-CN"/>
        </w:rPr>
        <w:t>规定的方法检验。</w:t>
      </w:r>
    </w:p>
    <w:p>
      <w:pPr>
        <w:pStyle w:val="18"/>
        <w:ind w:left="0" w:leftChars="0" w:firstLine="0" w:firstLineChars="0"/>
        <w:rPr>
          <w:rFonts w:hint="eastAsia" w:ascii="黑体" w:hAnsi="黑体" w:eastAsia="黑体" w:cs="黑体"/>
          <w:color w:val="auto"/>
          <w:sz w:val="21"/>
          <w:szCs w:val="21"/>
          <w:vertAlign w:val="baseline"/>
          <w:lang w:val="en-US" w:eastAsia="zh-CN"/>
        </w:rPr>
      </w:pPr>
      <w:r>
        <w:rPr>
          <w:rFonts w:hint="eastAsia" w:ascii="黑体" w:hAnsi="黑体" w:eastAsia="黑体" w:cs="黑体"/>
          <w:sz w:val="21"/>
          <w:szCs w:val="21"/>
          <w:lang w:val="en-US" w:eastAsia="zh-CN"/>
        </w:rPr>
        <w:t xml:space="preserve">7.4.6 </w:t>
      </w:r>
      <w:r>
        <w:rPr>
          <w:rFonts w:hint="eastAsia" w:ascii="黑体" w:hAnsi="黑体" w:eastAsia="黑体" w:cs="黑体"/>
          <w:color w:val="auto"/>
          <w:sz w:val="21"/>
          <w:szCs w:val="21"/>
          <w:vertAlign w:val="baseline"/>
          <w:lang w:val="en-US" w:eastAsia="zh-CN"/>
        </w:rPr>
        <w:t>维生素B</w:t>
      </w:r>
      <w:r>
        <w:rPr>
          <w:rFonts w:hint="eastAsia" w:ascii="黑体" w:hAnsi="黑体" w:eastAsia="黑体" w:cs="黑体"/>
          <w:color w:val="auto"/>
          <w:sz w:val="21"/>
          <w:szCs w:val="21"/>
          <w:vertAlign w:val="subscript"/>
          <w:lang w:val="en-US" w:eastAsia="zh-CN"/>
        </w:rPr>
        <w:t>2</w:t>
      </w:r>
      <w:r>
        <w:rPr>
          <w:rFonts w:hint="eastAsia" w:ascii="黑体" w:hAnsi="黑体" w:eastAsia="黑体" w:cs="黑体"/>
          <w:color w:val="auto"/>
          <w:sz w:val="21"/>
          <w:szCs w:val="21"/>
          <w:vertAlign w:val="baseline"/>
          <w:lang w:val="en-US" w:eastAsia="zh-CN"/>
        </w:rPr>
        <w:t xml:space="preserve"> </w:t>
      </w:r>
    </w:p>
    <w:p>
      <w:pPr>
        <w:keepNext w:val="0"/>
        <w:keepLines w:val="0"/>
        <w:widowControl/>
        <w:suppressLineNumbers w:val="0"/>
        <w:jc w:val="left"/>
        <w:rPr>
          <w:rFonts w:hint="default"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GB 5009.85</w:t>
      </w:r>
      <w:r>
        <w:rPr>
          <w:rFonts w:hint="eastAsia" w:ascii="宋体" w:hAnsi="宋体" w:eastAsia="宋体" w:cs="宋体"/>
          <w:sz w:val="21"/>
          <w:szCs w:val="21"/>
          <w:lang w:eastAsia="zh-CN"/>
        </w:rPr>
        <w:t>规定的方法检验。</w:t>
      </w:r>
      <w:r>
        <w:rPr>
          <w:rFonts w:hint="eastAsia" w:ascii="宋体" w:hAnsi="宋体" w:eastAsia="宋体" w:cs="宋体"/>
          <w:sz w:val="21"/>
          <w:szCs w:val="21"/>
          <w:lang w:val="en-US" w:eastAsia="zh-CN"/>
        </w:rPr>
        <w:t xml:space="preserve">  </w:t>
      </w:r>
    </w:p>
    <w:p>
      <w:pPr>
        <w:pStyle w:val="18"/>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sz w:val="21"/>
          <w:szCs w:val="21"/>
          <w:lang w:val="en-US" w:eastAsia="zh-CN"/>
        </w:rPr>
        <w:t xml:space="preserve">7.5 </w:t>
      </w:r>
      <w:r>
        <w:rPr>
          <w:rFonts w:hint="eastAsia" w:ascii="黑体" w:hAnsi="黑体" w:eastAsia="黑体" w:cs="黑体"/>
          <w:color w:val="000000" w:themeColor="text1"/>
          <w:sz w:val="21"/>
          <w:szCs w:val="21"/>
          <w:lang w:val="en-US" w:eastAsia="zh-CN"/>
          <w14:textFill>
            <w14:solidFill>
              <w14:schemeClr w14:val="tx1"/>
            </w14:solidFill>
          </w14:textFill>
        </w:rPr>
        <w:t>蒸煮品质</w:t>
      </w:r>
    </w:p>
    <w:p>
      <w:pPr>
        <w:pStyle w:val="18"/>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7.5.1 直链淀粉</w:t>
      </w:r>
    </w:p>
    <w:p>
      <w:pPr>
        <w:pStyle w:val="18"/>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sz w:val="21"/>
          <w:szCs w:val="21"/>
        </w:rPr>
        <w:t>GB 5009.9</w:t>
      </w:r>
      <w:r>
        <w:rPr>
          <w:rFonts w:hint="eastAsia" w:asciiTheme="minorEastAsia" w:hAnsiTheme="minorEastAsia" w:eastAsiaTheme="minorEastAsia" w:cstheme="minorEastAsia"/>
          <w:sz w:val="21"/>
          <w:szCs w:val="21"/>
          <w:lang w:eastAsia="zh-CN"/>
        </w:rPr>
        <w:t>规定的方法检验。</w:t>
      </w:r>
    </w:p>
    <w:p>
      <w:pPr>
        <w:pStyle w:val="18"/>
        <w:ind w:left="0" w:leftChars="0" w:firstLine="0" w:firstLineChars="0"/>
        <w:rPr>
          <w:rFonts w:hint="eastAsia" w:ascii="黑体" w:hAnsi="黑体" w:eastAsia="黑体" w:cs="黑体"/>
          <w:color w:val="000000" w:themeColor="text1"/>
          <w:sz w:val="21"/>
          <w:szCs w:val="21"/>
          <w:lang w:val="en-US" w:eastAsia="zh-CN"/>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7.5.2 胶稠度</w:t>
      </w:r>
    </w:p>
    <w:p>
      <w:pPr>
        <w:pStyle w:val="18"/>
        <w:ind w:left="0" w:leftChars="0" w:firstLine="630" w:firstLineChars="3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NY/T 83</w:t>
      </w:r>
      <w:r>
        <w:rPr>
          <w:rFonts w:hint="eastAsia" w:asciiTheme="minorEastAsia" w:hAnsiTheme="minorEastAsia" w:eastAsiaTheme="minorEastAsia" w:cstheme="minorEastAsia"/>
          <w:sz w:val="21"/>
          <w:szCs w:val="21"/>
          <w:lang w:eastAsia="zh-CN"/>
        </w:rPr>
        <w:t>规定的方法检验。</w:t>
      </w:r>
    </w:p>
    <w:p>
      <w:pPr>
        <w:pStyle w:val="18"/>
        <w:ind w:left="0" w:leftChars="0" w:firstLine="0" w:firstLineChars="0"/>
        <w:rPr>
          <w:rFonts w:hint="eastAsia" w:ascii="黑体" w:hAnsi="黑体" w:eastAsia="黑体" w:cs="黑体"/>
          <w:sz w:val="21"/>
          <w:szCs w:val="21"/>
        </w:rPr>
      </w:pPr>
      <w:r>
        <w:rPr>
          <w:rFonts w:hint="eastAsia" w:ascii="黑体" w:hAnsi="黑体" w:eastAsia="黑体" w:cs="黑体"/>
          <w:color w:val="000000"/>
          <w:sz w:val="21"/>
          <w:szCs w:val="21"/>
          <w:lang w:val="en-US" w:eastAsia="zh-CN"/>
        </w:rPr>
        <w:t xml:space="preserve">7.6 </w:t>
      </w:r>
      <w:r>
        <w:rPr>
          <w:rFonts w:hint="eastAsia" w:ascii="黑体" w:eastAsia="黑体"/>
          <w:kern w:val="0"/>
          <w:szCs w:val="21"/>
          <w:lang w:eastAsia="zh-CN"/>
        </w:rPr>
        <w:t>安全质量指标</w:t>
      </w:r>
    </w:p>
    <w:p>
      <w:pPr>
        <w:pStyle w:val="18"/>
        <w:rPr>
          <w:rFonts w:hint="eastAsia" w:ascii="宋体" w:hAnsi="宋体" w:eastAsia="宋体" w:cs="宋体"/>
          <w:color w:val="0000FF"/>
          <w:sz w:val="21"/>
          <w:szCs w:val="21"/>
          <w:lang w:val="en-US" w:eastAsia="zh-CN"/>
        </w:rPr>
      </w:pPr>
      <w:r>
        <w:rPr>
          <w:rFonts w:hint="eastAsia" w:asciiTheme="minorEastAsia" w:hAnsiTheme="minorEastAsia" w:eastAsiaTheme="minorEastAsia" w:cstheme="minorEastAsia"/>
          <w:sz w:val="21"/>
          <w:szCs w:val="21"/>
          <w:lang w:val="en-US" w:eastAsia="zh-CN"/>
        </w:rPr>
        <w:t>按照GB 2715</w:t>
      </w:r>
      <w:r>
        <w:rPr>
          <w:rFonts w:hint="eastAsia" w:asciiTheme="minorEastAsia" w:hAnsiTheme="minorEastAsia" w:eastAsiaTheme="minorEastAsia" w:cstheme="minorEastAsia"/>
          <w:sz w:val="21"/>
          <w:szCs w:val="21"/>
          <w:lang w:eastAsia="zh-CN"/>
        </w:rPr>
        <w:t>规定的方法检验。</w:t>
      </w:r>
    </w:p>
    <w:p>
      <w:pPr>
        <w:pStyle w:val="18"/>
        <w:ind w:left="0" w:leftChars="0" w:firstLine="0" w:firstLineChars="0"/>
        <w:rPr>
          <w:rFonts w:hint="eastAsia" w:ascii="黑体" w:hAnsi="黑体" w:eastAsia="黑体" w:cs="黑体"/>
          <w:color w:val="auto"/>
        </w:rPr>
      </w:pPr>
      <w:r>
        <w:rPr>
          <w:rFonts w:hint="eastAsia" w:ascii="黑体" w:hAnsi="黑体" w:eastAsia="黑体" w:cs="黑体"/>
          <w:color w:val="auto"/>
          <w:sz w:val="21"/>
          <w:szCs w:val="21"/>
          <w:lang w:val="en-US" w:eastAsia="zh-CN"/>
        </w:rPr>
        <w:t xml:space="preserve">7.7 </w:t>
      </w:r>
      <w:r>
        <w:rPr>
          <w:rFonts w:hint="eastAsia" w:ascii="黑体" w:hAnsi="黑体" w:eastAsia="黑体" w:cs="黑体"/>
          <w:color w:val="auto"/>
        </w:rPr>
        <w:t>净含量</w:t>
      </w:r>
    </w:p>
    <w:p>
      <w:pPr>
        <w:pStyle w:val="18"/>
        <w:ind w:left="0" w:leftChars="0" w:firstLine="0" w:firstLineChars="0"/>
        <w:rPr>
          <w:rFonts w:hint="eastAsia" w:ascii="黑体" w:hAnsi="黑体" w:eastAsia="黑体" w:cs="黑体"/>
          <w:color w:val="000000"/>
          <w:sz w:val="21"/>
          <w:szCs w:val="21"/>
          <w:lang w:val="en-US" w:eastAsia="zh-CN"/>
        </w:rPr>
      </w:pPr>
      <w:r>
        <w:rPr>
          <w:rFonts w:hint="eastAsia" w:ascii="黑体" w:hAnsi="黑体" w:eastAsia="黑体" w:cs="黑体"/>
          <w:lang w:val="en-US" w:eastAsia="zh-CN"/>
        </w:rPr>
        <w:t xml:space="preserve">    </w:t>
      </w:r>
      <w:r>
        <w:rPr>
          <w:rFonts w:hint="eastAsia" w:asciiTheme="minorEastAsia" w:hAnsiTheme="minorEastAsia" w:eastAsiaTheme="minorEastAsia" w:cstheme="minorEastAsia"/>
          <w:sz w:val="21"/>
          <w:szCs w:val="21"/>
          <w:lang w:val="en-US" w:eastAsia="zh-CN"/>
        </w:rPr>
        <w:t>按照</w:t>
      </w:r>
      <w:r>
        <w:rPr>
          <w:rFonts w:hint="eastAsia"/>
        </w:rPr>
        <w:t>JJF 1070规定的方法检验</w:t>
      </w:r>
      <w:r>
        <w:rPr>
          <w:rFonts w:hint="eastAsia"/>
          <w:lang w:eastAsia="zh-CN"/>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sz w:val="28"/>
          <w:szCs w:val="28"/>
        </w:rPr>
      </w:pPr>
      <w:r>
        <w:rPr>
          <w:rFonts w:hint="eastAsia"/>
          <w:lang w:val="en-US" w:eastAsia="zh-CN"/>
        </w:rPr>
        <w:t xml:space="preserve">8 </w:t>
      </w:r>
      <w:r>
        <w:rPr>
          <w:rFonts w:hint="eastAsia"/>
        </w:rPr>
        <w:t>检验规则</w:t>
      </w:r>
      <w:bookmarkEnd w:id="37"/>
      <w:bookmarkEnd w:id="38"/>
      <w:bookmarkEnd w:id="39"/>
      <w:bookmarkEnd w:id="40"/>
      <w:bookmarkEnd w:id="41"/>
      <w:bookmarkEnd w:id="42"/>
      <w:bookmarkEnd w:id="43"/>
    </w:p>
    <w:p>
      <w:pPr>
        <w:pStyle w:val="21"/>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hAnsi="黑体" w:cs="黑体"/>
          <w:sz w:val="21"/>
          <w:szCs w:val="21"/>
          <w:lang w:val="en-US" w:eastAsia="zh-CN"/>
        </w:rPr>
      </w:pPr>
      <w:r>
        <w:rPr>
          <w:rFonts w:hint="eastAsia" w:hAnsi="黑体" w:cs="黑体"/>
          <w:sz w:val="21"/>
          <w:szCs w:val="21"/>
          <w:lang w:val="en-US" w:eastAsia="zh-CN"/>
        </w:rPr>
        <w:t>8</w:t>
      </w:r>
      <w:r>
        <w:rPr>
          <w:rFonts w:hint="eastAsia" w:ascii="黑体" w:hAnsi="黑体" w:eastAsia="黑体" w:cs="黑体"/>
          <w:sz w:val="21"/>
          <w:szCs w:val="21"/>
          <w:lang w:val="en-US" w:eastAsia="zh-CN"/>
        </w:rPr>
        <w:t>.1</w:t>
      </w:r>
      <w:r>
        <w:rPr>
          <w:rFonts w:hint="eastAsia" w:hAnsi="黑体" w:cs="黑体"/>
          <w:sz w:val="21"/>
          <w:szCs w:val="21"/>
          <w:lang w:val="en-US" w:eastAsia="zh-CN"/>
        </w:rPr>
        <w:t xml:space="preserve"> 组批</w:t>
      </w:r>
    </w:p>
    <w:p>
      <w:pPr>
        <w:pStyle w:val="21"/>
        <w:keepNext w:val="0"/>
        <w:keepLines w:val="0"/>
        <w:pageBreakBefore w:val="0"/>
        <w:widowControl/>
        <w:numPr>
          <w:ilvl w:val="0"/>
          <w:numId w:val="0"/>
        </w:numPr>
        <w:kinsoku/>
        <w:wordWrap/>
        <w:overflowPunct/>
        <w:topLinePunct w:val="0"/>
        <w:autoSpaceDE/>
        <w:autoSpaceDN/>
        <w:bidi w:val="0"/>
        <w:adjustRightInd/>
        <w:snapToGrid/>
        <w:spacing w:line="2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同一批原料、同一工艺、同一设备、同一班次加工的本溪老红根小米为一个批次。</w:t>
      </w:r>
    </w:p>
    <w:p>
      <w:pPr>
        <w:pStyle w:val="21"/>
        <w:keepNext w:val="0"/>
        <w:keepLines w:val="0"/>
        <w:pageBreakBefore w:val="0"/>
        <w:widowControl/>
        <w:numPr>
          <w:ilvl w:val="0"/>
          <w:numId w:val="0"/>
        </w:numPr>
        <w:kinsoku/>
        <w:wordWrap/>
        <w:overflowPunct/>
        <w:topLinePunct w:val="0"/>
        <w:autoSpaceDE/>
        <w:autoSpaceDN/>
        <w:bidi w:val="0"/>
        <w:adjustRightInd/>
        <w:snapToGrid/>
        <w:spacing w:line="202" w:lineRule="exact"/>
        <w:textAlignment w:val="auto"/>
        <w:rPr>
          <w:rFonts w:hint="eastAsia" w:ascii="黑体" w:hAnsi="黑体" w:eastAsia="黑体" w:cs="黑体"/>
          <w:sz w:val="21"/>
          <w:szCs w:val="21"/>
          <w:lang w:eastAsia="zh-CN"/>
        </w:rPr>
      </w:pPr>
      <w:r>
        <w:rPr>
          <w:rFonts w:hint="eastAsia" w:ascii="黑体" w:hAnsi="黑体" w:eastAsia="黑体" w:cs="黑体"/>
          <w:sz w:val="21"/>
          <w:szCs w:val="21"/>
          <w:lang w:val="en-US" w:eastAsia="zh-CN"/>
        </w:rPr>
        <w:t>8.2</w:t>
      </w:r>
      <w:r>
        <w:rPr>
          <w:rFonts w:hint="eastAsia" w:ascii="黑体" w:hAnsi="黑体" w:eastAsia="黑体" w:cs="黑体"/>
          <w:sz w:val="21"/>
          <w:szCs w:val="21"/>
          <w:lang w:eastAsia="zh-CN"/>
        </w:rPr>
        <w:t>检验分类</w:t>
      </w:r>
    </w:p>
    <w:p>
      <w:pPr>
        <w:pStyle w:val="21"/>
        <w:keepNext w:val="0"/>
        <w:keepLines w:val="0"/>
        <w:pageBreakBefore w:val="0"/>
        <w:widowControl/>
        <w:numPr>
          <w:ilvl w:val="0"/>
          <w:numId w:val="0"/>
        </w:numPr>
        <w:kinsoku/>
        <w:wordWrap/>
        <w:overflowPunct/>
        <w:topLinePunct w:val="0"/>
        <w:autoSpaceDE/>
        <w:autoSpaceDN/>
        <w:bidi w:val="0"/>
        <w:adjustRightInd/>
        <w:snapToGrid/>
        <w:spacing w:line="202"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分为出厂检验和型式检验。</w:t>
      </w:r>
    </w:p>
    <w:p>
      <w:pPr>
        <w:pStyle w:val="21"/>
        <w:keepNext w:val="0"/>
        <w:keepLines w:val="0"/>
        <w:pageBreakBefore w:val="0"/>
        <w:widowControl/>
        <w:numPr>
          <w:ilvl w:val="0"/>
          <w:numId w:val="0"/>
        </w:numPr>
        <w:kinsoku/>
        <w:wordWrap/>
        <w:overflowPunct/>
        <w:topLinePunct w:val="0"/>
        <w:autoSpaceDE/>
        <w:autoSpaceDN/>
        <w:bidi w:val="0"/>
        <w:adjustRightInd/>
        <w:snapToGrid/>
        <w:spacing w:line="200" w:lineRule="exact"/>
        <w:textAlignment w:val="auto"/>
        <w:rPr>
          <w:rFonts w:hint="eastAsia" w:ascii="黑体" w:hAnsi="黑体" w:eastAsia="黑体" w:cs="黑体"/>
          <w:sz w:val="21"/>
          <w:szCs w:val="21"/>
        </w:rPr>
      </w:pPr>
      <w:r>
        <w:rPr>
          <w:rFonts w:hint="eastAsia" w:hAnsi="黑体" w:cs="黑体"/>
          <w:sz w:val="21"/>
          <w:szCs w:val="21"/>
          <w:lang w:val="en-US" w:eastAsia="zh-CN"/>
        </w:rPr>
        <w:t xml:space="preserve">8.3 </w:t>
      </w:r>
      <w:r>
        <w:rPr>
          <w:rFonts w:hint="eastAsia" w:ascii="黑体" w:hAnsi="黑体" w:eastAsia="黑体" w:cs="黑体"/>
          <w:sz w:val="21"/>
          <w:szCs w:val="21"/>
        </w:rPr>
        <w:t>出厂检验</w:t>
      </w:r>
    </w:p>
    <w:p>
      <w:pPr>
        <w:pStyle w:val="21"/>
        <w:keepNext w:val="0"/>
        <w:keepLines w:val="0"/>
        <w:pageBreakBefore w:val="0"/>
        <w:widowControl/>
        <w:numPr>
          <w:ilvl w:val="0"/>
          <w:numId w:val="0"/>
        </w:numPr>
        <w:kinsoku/>
        <w:wordWrap/>
        <w:overflowPunct/>
        <w:topLinePunct w:val="0"/>
        <w:autoSpaceDE/>
        <w:autoSpaceDN/>
        <w:bidi w:val="0"/>
        <w:adjustRightInd/>
        <w:snapToGrid/>
        <w:spacing w:line="22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每批产品应按本文件规定进行出厂检验,出厂检验项目</w:t>
      </w:r>
      <w:r>
        <w:rPr>
          <w:rFonts w:hint="eastAsia" w:asciiTheme="minorEastAsia" w:hAnsiTheme="minorEastAsia" w:eastAsiaTheme="minorEastAsia" w:cstheme="minorEastAsia"/>
          <w:sz w:val="21"/>
          <w:szCs w:val="21"/>
          <w:lang w:eastAsia="zh-CN"/>
        </w:rPr>
        <w:t>为</w:t>
      </w:r>
      <w:r>
        <w:rPr>
          <w:rFonts w:hint="eastAsia" w:asciiTheme="minorEastAsia" w:hAnsiTheme="minorEastAsia" w:eastAsiaTheme="minorEastAsia" w:cstheme="minorEastAsia"/>
          <w:sz w:val="21"/>
          <w:szCs w:val="21"/>
        </w:rPr>
        <w:t>本文件</w:t>
      </w:r>
      <w:r>
        <w:rPr>
          <w:rFonts w:hint="eastAsia" w:asciiTheme="minorEastAsia" w:hAnsiTheme="minorEastAsia" w:eastAsiaTheme="minorEastAsia" w:cstheme="minorEastAsia"/>
          <w:sz w:val="21"/>
          <w:szCs w:val="21"/>
          <w:lang w:val="en-US" w:eastAsia="zh-CN"/>
        </w:rPr>
        <w:t>6.1、6.2、6.6</w:t>
      </w:r>
      <w:r>
        <w:rPr>
          <w:rFonts w:hint="eastAsia" w:asciiTheme="minorEastAsia" w:hAnsiTheme="minorEastAsia" w:eastAsiaTheme="minorEastAsia" w:cstheme="minorEastAsia"/>
          <w:sz w:val="21"/>
          <w:szCs w:val="21"/>
          <w:lang w:eastAsia="zh-CN"/>
        </w:rPr>
        <w:t>规定的项目</w:t>
      </w:r>
      <w:r>
        <w:rPr>
          <w:rFonts w:hint="eastAsia" w:asciiTheme="minorEastAsia" w:hAnsiTheme="minorEastAsia" w:eastAsiaTheme="minorEastAsia" w:cstheme="minorEastAsia"/>
          <w:sz w:val="21"/>
          <w:szCs w:val="21"/>
        </w:rPr>
        <w:t>。经检验合格签发合格证后,方可出厂和销售。</w:t>
      </w:r>
    </w:p>
    <w:p>
      <w:pPr>
        <w:keepNext w:val="0"/>
        <w:keepLines w:val="0"/>
        <w:pageBreakBefore w:val="0"/>
        <w:kinsoku/>
        <w:wordWrap/>
        <w:overflowPunct/>
        <w:topLinePunct w:val="0"/>
        <w:autoSpaceDE/>
        <w:autoSpaceDN/>
        <w:bidi w:val="0"/>
        <w:adjustRightInd/>
        <w:snapToGrid/>
        <w:spacing w:line="200" w:lineRule="exact"/>
        <w:jc w:val="left"/>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8.4 </w:t>
      </w:r>
      <w:r>
        <w:rPr>
          <w:rFonts w:hint="eastAsia" w:ascii="黑体" w:hAnsi="黑体" w:eastAsia="黑体" w:cs="黑体"/>
          <w:sz w:val="21"/>
          <w:szCs w:val="21"/>
        </w:rPr>
        <w:t xml:space="preserve">型式检验 </w:t>
      </w:r>
    </w:p>
    <w:p>
      <w:pPr>
        <w:jc w:val="left"/>
        <w:rPr>
          <w:rFonts w:hint="eastAsia" w:ascii="宋体" w:hAnsi="宋体" w:eastAsia="宋体" w:cs="宋体"/>
          <w:sz w:val="21"/>
          <w:szCs w:val="21"/>
        </w:rPr>
      </w:pPr>
      <w:r>
        <w:rPr>
          <w:rFonts w:hint="eastAsia" w:ascii="黑体" w:hAnsi="黑体" w:eastAsia="黑体" w:cs="黑体"/>
          <w:sz w:val="21"/>
          <w:szCs w:val="21"/>
          <w:lang w:val="en-US" w:eastAsia="zh-CN"/>
        </w:rPr>
        <w:t xml:space="preserve">8.4.1 </w:t>
      </w:r>
      <w:r>
        <w:rPr>
          <w:rFonts w:hint="eastAsia" w:ascii="宋体" w:hAnsi="宋体" w:eastAsia="宋体" w:cs="宋体"/>
          <w:sz w:val="21"/>
          <w:szCs w:val="21"/>
        </w:rPr>
        <w:t>型式检验项目为本</w:t>
      </w:r>
      <w:r>
        <w:rPr>
          <w:rFonts w:hint="eastAsia" w:ascii="宋体" w:hAnsi="宋体" w:cs="宋体"/>
          <w:sz w:val="21"/>
          <w:szCs w:val="21"/>
          <w:lang w:eastAsia="zh-CN"/>
        </w:rPr>
        <w:t>文件质量</w:t>
      </w:r>
      <w:r>
        <w:rPr>
          <w:rFonts w:hint="eastAsia" w:ascii="宋体" w:hAnsi="宋体" w:eastAsia="宋体" w:cs="宋体"/>
          <w:sz w:val="21"/>
          <w:szCs w:val="21"/>
        </w:rPr>
        <w:t xml:space="preserve">要求中规定的全部项目。 </w:t>
      </w:r>
    </w:p>
    <w:p>
      <w:pPr>
        <w:jc w:val="left"/>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8.4.2 </w:t>
      </w:r>
      <w:r>
        <w:rPr>
          <w:rFonts w:hint="eastAsia" w:ascii="宋体" w:hAnsi="宋体" w:eastAsia="宋体" w:cs="宋体"/>
          <w:sz w:val="21"/>
          <w:szCs w:val="21"/>
        </w:rPr>
        <w:t>正常生产时，型式检验</w:t>
      </w:r>
      <w:r>
        <w:rPr>
          <w:rFonts w:hint="eastAsia" w:ascii="宋体" w:hAnsi="宋体" w:cs="宋体"/>
          <w:sz w:val="21"/>
          <w:szCs w:val="21"/>
          <w:lang w:eastAsia="zh-CN"/>
        </w:rPr>
        <w:t>应</w:t>
      </w:r>
      <w:r>
        <w:rPr>
          <w:rFonts w:hint="eastAsia" w:ascii="宋体" w:hAnsi="宋体" w:eastAsia="宋体" w:cs="宋体"/>
          <w:sz w:val="21"/>
          <w:szCs w:val="21"/>
        </w:rPr>
        <w:t xml:space="preserve">每年进行一次，有下列情况之一时，亦应进行: </w:t>
      </w:r>
    </w:p>
    <w:p>
      <w:pPr>
        <w:numPr>
          <w:ilvl w:val="0"/>
          <w:numId w:val="0"/>
        </w:numPr>
        <w:ind w:firstLine="630" w:firstLineChars="300"/>
        <w:jc w:val="left"/>
        <w:rPr>
          <w:rFonts w:hint="eastAsia" w:ascii="宋体" w:hAnsi="宋体" w:cs="宋体"/>
          <w:sz w:val="21"/>
          <w:szCs w:val="21"/>
          <w:lang w:eastAsia="zh-CN"/>
        </w:rPr>
      </w:pPr>
      <w:r>
        <w:rPr>
          <w:rFonts w:hint="eastAsia" w:ascii="宋体" w:hAnsi="宋体" w:cs="宋体"/>
          <w:sz w:val="21"/>
          <w:szCs w:val="21"/>
          <w:lang w:val="en-US" w:eastAsia="zh-CN"/>
        </w:rPr>
        <w:t>a</w:t>
      </w:r>
      <w:r>
        <w:rPr>
          <w:rFonts w:hint="eastAsia" w:ascii="宋体" w:hAnsi="宋体" w:cs="宋体"/>
          <w:sz w:val="21"/>
          <w:szCs w:val="21"/>
          <w:lang w:eastAsia="zh-CN"/>
        </w:rPr>
        <w:t>）首次批量生产时；</w:t>
      </w:r>
    </w:p>
    <w:p>
      <w:pPr>
        <w:numPr>
          <w:ilvl w:val="0"/>
          <w:numId w:val="0"/>
        </w:numPr>
        <w:ind w:firstLine="630" w:firstLineChars="300"/>
        <w:jc w:val="left"/>
        <w:rPr>
          <w:rFonts w:hint="eastAsia" w:ascii="宋体" w:hAnsi="宋体" w:eastAsia="宋体" w:cs="宋体"/>
          <w:sz w:val="21"/>
          <w:szCs w:val="21"/>
        </w:rPr>
      </w:pPr>
      <w:r>
        <w:rPr>
          <w:rFonts w:hint="eastAsia" w:ascii="宋体" w:hAnsi="宋体" w:cs="宋体"/>
          <w:sz w:val="21"/>
          <w:szCs w:val="21"/>
          <w:lang w:val="en-US" w:eastAsia="zh-CN"/>
        </w:rPr>
        <w:t>b）</w:t>
      </w:r>
      <w:r>
        <w:rPr>
          <w:rFonts w:hint="eastAsia" w:ascii="宋体" w:hAnsi="宋体" w:cs="宋体"/>
          <w:sz w:val="21"/>
          <w:szCs w:val="21"/>
          <w:lang w:eastAsia="zh-CN"/>
        </w:rPr>
        <w:t>生产环境、栽培或加工技术有重大改变，可能影响产品质量</w:t>
      </w:r>
      <w:r>
        <w:rPr>
          <w:rFonts w:hint="eastAsia" w:ascii="宋体" w:hAnsi="宋体" w:eastAsia="宋体" w:cs="宋体"/>
          <w:sz w:val="21"/>
          <w:szCs w:val="21"/>
          <w:lang w:eastAsia="zh-CN"/>
        </w:rPr>
        <w:t>时；</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c）</w:t>
      </w:r>
      <w:r>
        <w:rPr>
          <w:rFonts w:hint="eastAsia" w:ascii="宋体" w:hAnsi="宋体" w:cs="宋体"/>
          <w:sz w:val="21"/>
          <w:szCs w:val="21"/>
          <w:lang w:eastAsia="zh-CN"/>
        </w:rPr>
        <w:t>客户有</w:t>
      </w:r>
      <w:r>
        <w:rPr>
          <w:rFonts w:hint="eastAsia" w:ascii="宋体" w:hAnsi="宋体" w:eastAsia="宋体" w:cs="宋体"/>
          <w:sz w:val="21"/>
          <w:szCs w:val="21"/>
        </w:rPr>
        <w:t>型式检验</w:t>
      </w:r>
      <w:r>
        <w:rPr>
          <w:rFonts w:hint="eastAsia" w:ascii="宋体" w:hAnsi="宋体" w:eastAsia="宋体" w:cs="宋体"/>
          <w:sz w:val="21"/>
          <w:szCs w:val="21"/>
          <w:lang w:eastAsia="zh-CN"/>
        </w:rPr>
        <w:t>要求</w:t>
      </w:r>
      <w:r>
        <w:rPr>
          <w:rFonts w:hint="eastAsia" w:ascii="宋体" w:hAnsi="宋体" w:eastAsia="宋体" w:cs="宋体"/>
          <w:sz w:val="21"/>
          <w:szCs w:val="21"/>
        </w:rPr>
        <w:t>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d）</w:t>
      </w:r>
      <w:r>
        <w:rPr>
          <w:rFonts w:hint="eastAsia" w:ascii="宋体" w:hAnsi="宋体" w:eastAsia="宋体" w:cs="宋体"/>
          <w:sz w:val="21"/>
          <w:szCs w:val="21"/>
        </w:rPr>
        <w:t>供需双方对产品质量有争议，请第三方进行仲裁时</w:t>
      </w:r>
      <w:r>
        <w:rPr>
          <w:rFonts w:hint="eastAsia" w:ascii="宋体" w:hAnsi="宋体" w:cs="宋体"/>
          <w:sz w:val="21"/>
          <w:szCs w:val="21"/>
          <w:lang w:eastAsia="zh-CN"/>
        </w:rPr>
        <w:t>；</w:t>
      </w:r>
    </w:p>
    <w:p>
      <w:pPr>
        <w:ind w:firstLine="630" w:firstLineChars="300"/>
        <w:rPr>
          <w:rFonts w:hint="eastAsia" w:ascii="宋体" w:hAnsi="宋体" w:eastAsia="宋体" w:cs="宋体"/>
          <w:sz w:val="21"/>
          <w:szCs w:val="21"/>
          <w:lang w:eastAsia="zh-CN"/>
        </w:rPr>
      </w:pPr>
      <w:r>
        <w:rPr>
          <w:rFonts w:hint="eastAsia" w:ascii="宋体" w:hAnsi="宋体" w:cs="宋体"/>
          <w:sz w:val="21"/>
          <w:szCs w:val="21"/>
          <w:lang w:val="en-US" w:eastAsia="zh-CN"/>
        </w:rPr>
        <w:t>e）监管部门提出</w:t>
      </w:r>
      <w:r>
        <w:rPr>
          <w:rFonts w:hint="eastAsia" w:ascii="宋体" w:hAnsi="宋体" w:eastAsia="宋体" w:cs="宋体"/>
          <w:sz w:val="21"/>
          <w:szCs w:val="21"/>
        </w:rPr>
        <w:t>型式检验</w:t>
      </w:r>
      <w:r>
        <w:rPr>
          <w:rFonts w:hint="eastAsia" w:ascii="宋体" w:hAnsi="宋体" w:eastAsia="宋体" w:cs="宋体"/>
          <w:sz w:val="21"/>
          <w:szCs w:val="21"/>
          <w:lang w:eastAsia="zh-CN"/>
        </w:rPr>
        <w:t>要求时。</w:t>
      </w: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8.5 </w:t>
      </w:r>
      <w:r>
        <w:rPr>
          <w:rFonts w:hint="eastAsia" w:ascii="黑体" w:hAnsi="黑体" w:eastAsia="黑体" w:cs="黑体"/>
          <w:sz w:val="21"/>
          <w:szCs w:val="21"/>
        </w:rPr>
        <w:t>判定规则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检验结果中食品安全指标有一项不合格则判定该批产品不合格。感官指标、加工质量指标、蒸煮品质和营养指标中有一项不符合要求的</w:t>
      </w:r>
      <w:r>
        <w:rPr>
          <w:rFonts w:hint="eastAsia" w:ascii="宋体" w:hAnsi="宋体" w:cs="宋体"/>
          <w:sz w:val="21"/>
          <w:szCs w:val="21"/>
          <w:lang w:eastAsia="zh-CN"/>
        </w:rPr>
        <w:t>，</w:t>
      </w:r>
      <w:r>
        <w:rPr>
          <w:rFonts w:hint="eastAsia" w:ascii="宋体" w:hAnsi="宋体" w:eastAsia="宋体" w:cs="宋体"/>
          <w:sz w:val="21"/>
          <w:szCs w:val="21"/>
        </w:rPr>
        <w:t>可重新从同一批产品中加倍抽样对不合格项进行复检</w:t>
      </w:r>
      <w:r>
        <w:rPr>
          <w:rFonts w:hint="eastAsia" w:ascii="宋体" w:hAnsi="宋体" w:cs="宋体"/>
          <w:sz w:val="21"/>
          <w:szCs w:val="21"/>
          <w:lang w:eastAsia="zh-CN"/>
        </w:rPr>
        <w:t>，</w:t>
      </w:r>
      <w:r>
        <w:rPr>
          <w:rFonts w:hint="eastAsia" w:ascii="宋体" w:hAnsi="宋体" w:eastAsia="宋体" w:cs="宋体"/>
          <w:sz w:val="21"/>
          <w:szCs w:val="21"/>
        </w:rPr>
        <w:t>复检结果仍</w:t>
      </w:r>
      <w:r>
        <w:rPr>
          <w:rFonts w:hint="eastAsia" w:ascii="宋体" w:hAnsi="宋体" w:cs="宋体"/>
          <w:sz w:val="21"/>
          <w:szCs w:val="21"/>
          <w:lang w:eastAsia="zh-CN"/>
        </w:rPr>
        <w:t>有</w:t>
      </w:r>
      <w:r>
        <w:rPr>
          <w:rFonts w:hint="eastAsia" w:ascii="宋体" w:hAnsi="宋体" w:eastAsia="宋体" w:cs="宋体"/>
          <w:sz w:val="21"/>
          <w:szCs w:val="21"/>
        </w:rPr>
        <w:t>不合格项时</w:t>
      </w:r>
      <w:r>
        <w:rPr>
          <w:rFonts w:hint="eastAsia" w:ascii="宋体" w:hAnsi="宋体" w:cs="宋体"/>
          <w:sz w:val="21"/>
          <w:szCs w:val="21"/>
          <w:lang w:eastAsia="zh-CN"/>
        </w:rPr>
        <w:t>，</w:t>
      </w:r>
      <w:r>
        <w:rPr>
          <w:rFonts w:hint="eastAsia" w:ascii="宋体" w:hAnsi="宋体" w:eastAsia="宋体" w:cs="宋体"/>
          <w:sz w:val="21"/>
          <w:szCs w:val="21"/>
        </w:rPr>
        <w:t>判该批产品为不合格。</w:t>
      </w:r>
    </w:p>
    <w:p>
      <w:pPr>
        <w:ind w:firstLine="420" w:firstLineChars="200"/>
        <w:rPr>
          <w:rFonts w:hint="eastAsia" w:ascii="宋体" w:hAnsi="宋体" w:eastAsia="宋体" w:cs="宋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 xml:space="preserve">9 </w:t>
      </w:r>
      <w:r>
        <w:rPr>
          <w:rFonts w:hint="eastAsia" w:ascii="黑体" w:hAnsi="黑体" w:eastAsia="黑体" w:cs="黑体"/>
          <w:sz w:val="21"/>
          <w:szCs w:val="21"/>
        </w:rPr>
        <w:t xml:space="preserve"> 标志</w:t>
      </w:r>
      <w:r>
        <w:rPr>
          <w:rFonts w:hint="eastAsia" w:ascii="黑体" w:hAnsi="黑体" w:eastAsia="黑体" w:cs="黑体"/>
          <w:sz w:val="21"/>
          <w:szCs w:val="21"/>
          <w:lang w:eastAsia="zh-CN"/>
        </w:rPr>
        <w:t>、</w:t>
      </w:r>
      <w:r>
        <w:rPr>
          <w:rFonts w:hint="eastAsia" w:ascii="黑体" w:hAnsi="黑体" w:eastAsia="黑体" w:cs="黑体"/>
          <w:sz w:val="21"/>
          <w:szCs w:val="21"/>
        </w:rPr>
        <w:t>包装、运输和贮存</w:t>
      </w:r>
    </w:p>
    <w:p>
      <w:pPr>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lang w:val="en-US" w:eastAsia="zh-CN"/>
        </w:rPr>
        <w:t>9.1</w:t>
      </w:r>
      <w:r>
        <w:rPr>
          <w:rFonts w:hint="eastAsia" w:ascii="黑体" w:hAnsi="黑体" w:eastAsia="黑体" w:cs="黑体"/>
          <w:sz w:val="21"/>
          <w:szCs w:val="21"/>
        </w:rPr>
        <w:t>标志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7718</w:t>
      </w:r>
      <w:r>
        <w:rPr>
          <w:rFonts w:hint="eastAsia" w:ascii="宋体" w:hAnsi="宋体" w:cs="宋体"/>
          <w:sz w:val="21"/>
          <w:szCs w:val="21"/>
          <w:lang w:eastAsia="zh-CN"/>
        </w:rPr>
        <w:t>、</w:t>
      </w:r>
      <w:r>
        <w:rPr>
          <w:rFonts w:hint="eastAsia" w:ascii="宋体" w:hAnsi="宋体" w:cs="宋体"/>
          <w:sz w:val="21"/>
          <w:szCs w:val="21"/>
          <w:lang w:val="en-US" w:eastAsia="zh-CN"/>
        </w:rPr>
        <w:t>GB28050的</w:t>
      </w:r>
      <w:r>
        <w:rPr>
          <w:rFonts w:hint="eastAsia" w:ascii="宋体" w:hAnsi="宋体" w:eastAsia="宋体" w:cs="宋体"/>
          <w:sz w:val="21"/>
          <w:szCs w:val="21"/>
        </w:rPr>
        <w:t>规定</w:t>
      </w:r>
      <w:r>
        <w:rPr>
          <w:rFonts w:hint="eastAsia" w:ascii="宋体" w:hAnsi="宋体" w:cs="宋体"/>
          <w:sz w:val="21"/>
          <w:szCs w:val="21"/>
          <w:lang w:val="en-US" w:eastAsia="zh-CN"/>
        </w:rPr>
        <w:t>及绿色食品</w:t>
      </w:r>
      <w:r>
        <w:rPr>
          <w:rFonts w:hint="eastAsia" w:ascii="宋体" w:hAnsi="宋体" w:eastAsia="宋体" w:cs="宋体"/>
          <w:sz w:val="21"/>
          <w:szCs w:val="21"/>
        </w:rPr>
        <w:t>的</w:t>
      </w:r>
      <w:r>
        <w:rPr>
          <w:rFonts w:hint="eastAsia" w:ascii="宋体" w:hAnsi="宋体" w:cs="宋体"/>
          <w:sz w:val="21"/>
          <w:szCs w:val="21"/>
          <w:lang w:eastAsia="zh-CN"/>
        </w:rPr>
        <w:t>相关要求</w:t>
      </w:r>
      <w:r>
        <w:rPr>
          <w:rFonts w:hint="eastAsia" w:ascii="宋体" w:hAnsi="宋体" w:eastAsia="宋体" w:cs="宋体"/>
          <w:sz w:val="21"/>
          <w:szCs w:val="21"/>
        </w:rPr>
        <w:t>。包装运输标志应符合GB/T</w:t>
      </w:r>
      <w:r>
        <w:rPr>
          <w:rFonts w:hint="eastAsia" w:ascii="宋体" w:hAnsi="宋体" w:cs="宋体"/>
          <w:sz w:val="21"/>
          <w:szCs w:val="21"/>
          <w:lang w:val="en-US" w:eastAsia="zh-CN"/>
        </w:rPr>
        <w:t xml:space="preserve"> </w:t>
      </w:r>
      <w:r>
        <w:rPr>
          <w:rFonts w:hint="eastAsia" w:ascii="宋体" w:hAnsi="宋体" w:eastAsia="宋体" w:cs="宋体"/>
          <w:sz w:val="21"/>
          <w:szCs w:val="21"/>
        </w:rPr>
        <w:t>191的规定。</w:t>
      </w:r>
    </w:p>
    <w:p>
      <w:pPr>
        <w:rPr>
          <w:rFonts w:hint="eastAsia" w:ascii="黑体" w:hAnsi="黑体" w:eastAsia="黑体" w:cs="黑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包装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cs="宋体"/>
          <w:sz w:val="21"/>
          <w:szCs w:val="21"/>
          <w:lang w:eastAsia="zh-CN"/>
        </w:rPr>
        <w:t>材料应符合</w:t>
      </w:r>
      <w:r>
        <w:rPr>
          <w:rFonts w:hint="eastAsia" w:ascii="宋体" w:hAnsi="宋体" w:cs="宋体"/>
          <w:sz w:val="21"/>
          <w:szCs w:val="21"/>
          <w:lang w:val="en-US" w:eastAsia="zh-CN"/>
        </w:rPr>
        <w:t>GB/T17109的规定，</w:t>
      </w:r>
      <w:r>
        <w:rPr>
          <w:rFonts w:hint="eastAsia" w:ascii="宋体" w:hAnsi="宋体" w:cs="宋体"/>
          <w:sz w:val="21"/>
          <w:szCs w:val="21"/>
          <w:lang w:eastAsia="zh-CN"/>
        </w:rPr>
        <w:t>清洁无毒、无异味、防潮</w:t>
      </w:r>
      <w:r>
        <w:rPr>
          <w:rFonts w:hint="eastAsia" w:ascii="宋体" w:hAnsi="宋体" w:eastAsia="宋体" w:cs="宋体"/>
          <w:sz w:val="21"/>
          <w:szCs w:val="21"/>
        </w:rPr>
        <w:t>。</w:t>
      </w:r>
    </w:p>
    <w:p>
      <w:pPr>
        <w:rPr>
          <w:rFonts w:hint="eastAsia" w:ascii="黑体" w:hAnsi="黑体" w:eastAsia="黑体" w:cs="黑体"/>
          <w:sz w:val="21"/>
          <w:szCs w:val="21"/>
        </w:rPr>
      </w:pPr>
      <w:r>
        <w:rPr>
          <w:rFonts w:hint="eastAsia" w:ascii="黑体" w:hAnsi="黑体" w:eastAsia="黑体" w:cs="黑体"/>
          <w:sz w:val="21"/>
          <w:szCs w:val="21"/>
          <w:lang w:val="en-US" w:eastAsia="zh-CN"/>
        </w:rPr>
        <w:t>9.3</w:t>
      </w:r>
      <w:r>
        <w:rPr>
          <w:rFonts w:hint="eastAsia" w:ascii="黑体" w:hAnsi="黑体" w:eastAsia="黑体" w:cs="黑体"/>
          <w:sz w:val="21"/>
          <w:szCs w:val="21"/>
        </w:rPr>
        <w:t>运输</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运输工具应清洁、卫生、运输时不得与有毒、有异味和腐蚀性的货物混放、混装，运输中应防止挤压、暴晒、雨淋</w:t>
      </w:r>
      <w:r>
        <w:rPr>
          <w:rFonts w:hint="eastAsia" w:ascii="宋体" w:hAnsi="宋体" w:cs="宋体"/>
          <w:sz w:val="21"/>
          <w:szCs w:val="21"/>
          <w:lang w:eastAsia="zh-CN"/>
        </w:rPr>
        <w:t>，</w:t>
      </w:r>
      <w:r>
        <w:rPr>
          <w:rFonts w:hint="eastAsia" w:ascii="宋体" w:hAnsi="宋体" w:eastAsia="宋体" w:cs="宋体"/>
          <w:sz w:val="21"/>
          <w:szCs w:val="21"/>
        </w:rPr>
        <w:t>装卸时轻搬轻放。</w:t>
      </w:r>
    </w:p>
    <w:p>
      <w:pPr>
        <w:rPr>
          <w:rFonts w:hint="eastAsia" w:ascii="黑体" w:hAnsi="黑体" w:eastAsia="黑体" w:cs="黑体"/>
          <w:sz w:val="21"/>
          <w:szCs w:val="21"/>
        </w:rPr>
      </w:pPr>
      <w:r>
        <w:rPr>
          <w:rFonts w:hint="eastAsia" w:ascii="黑体" w:hAnsi="黑体" w:eastAsia="黑体" w:cs="黑体"/>
          <w:sz w:val="21"/>
          <w:szCs w:val="21"/>
          <w:lang w:val="en-US" w:eastAsia="zh-CN"/>
        </w:rPr>
        <w:t>9.</w:t>
      </w:r>
      <w:r>
        <w:rPr>
          <w:rFonts w:hint="eastAsia" w:ascii="黑体" w:hAnsi="黑体" w:eastAsia="黑体" w:cs="黑体"/>
          <w:sz w:val="21"/>
          <w:szCs w:val="21"/>
        </w:rPr>
        <w:t>4贮存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应</w:t>
      </w:r>
      <w:r>
        <w:rPr>
          <w:rFonts w:hint="eastAsia" w:ascii="宋体" w:hAnsi="宋体" w:eastAsia="宋体" w:cs="宋体"/>
          <w:sz w:val="21"/>
          <w:szCs w:val="21"/>
          <w:lang w:eastAsia="zh-CN"/>
        </w:rPr>
        <w:t>贮</w:t>
      </w:r>
      <w:r>
        <w:rPr>
          <w:rFonts w:hint="eastAsia" w:ascii="宋体" w:hAnsi="宋体" w:eastAsia="宋体" w:cs="宋体"/>
          <w:sz w:val="21"/>
          <w:szCs w:val="21"/>
        </w:rPr>
        <w:t>存在清洁、避光、干燥、通风</w:t>
      </w:r>
      <w:r>
        <w:rPr>
          <w:rFonts w:hint="eastAsia" w:ascii="宋体" w:hAnsi="宋体" w:cs="宋体"/>
          <w:sz w:val="21"/>
          <w:szCs w:val="21"/>
          <w:lang w:eastAsia="zh-CN"/>
        </w:rPr>
        <w:t>，</w:t>
      </w:r>
      <w:r>
        <w:rPr>
          <w:rFonts w:hint="eastAsia" w:ascii="宋体" w:hAnsi="宋体" w:eastAsia="宋体" w:cs="宋体"/>
          <w:sz w:val="21"/>
          <w:szCs w:val="21"/>
        </w:rPr>
        <w:t>有防虫、防</w:t>
      </w:r>
      <w:r>
        <w:rPr>
          <w:rFonts w:hint="eastAsia" w:ascii="宋体" w:hAnsi="宋体" w:eastAsia="宋体" w:cs="宋体"/>
          <w:sz w:val="21"/>
          <w:szCs w:val="21"/>
          <w:lang w:eastAsia="zh-CN"/>
        </w:rPr>
        <w:t>潮</w:t>
      </w:r>
      <w:r>
        <w:rPr>
          <w:rFonts w:hint="eastAsia" w:ascii="宋体" w:hAnsi="宋体" w:eastAsia="宋体" w:cs="宋体"/>
          <w:sz w:val="21"/>
          <w:szCs w:val="21"/>
        </w:rPr>
        <w:t>设施的仓库内，不应与有毒、有害、有异味、易挥发、易腐蚀的物品混存。存放时应有垫离。</w:t>
      </w:r>
    </w:p>
    <w:p>
      <w:pPr>
        <w:ind w:firstLine="420" w:firstLineChars="200"/>
        <w:rPr>
          <w:rFonts w:hint="eastAsia" w:ascii="宋体" w:hAnsi="宋体" w:eastAsia="宋体" w:cs="宋体"/>
          <w:sz w:val="21"/>
          <w:szCs w:val="21"/>
        </w:rPr>
      </w:pPr>
    </w:p>
    <w:p>
      <w:pPr>
        <w:pStyle w:val="26"/>
        <w:framePr w:vAnchor="text" w:hAnchor="page" w:x="4924" w:y="138"/>
        <w:jc w:val="both"/>
        <w:rPr>
          <w:rFonts w:hint="eastAsia" w:ascii="黑体" w:hAnsi="黑体" w:eastAsia="黑体" w:cs="黑体"/>
          <w:u w:val="thick"/>
        </w:rPr>
      </w:pPr>
      <w:r>
        <w:rPr>
          <w:rFonts w:hint="eastAsia"/>
          <w:lang w:val="en-US" w:eastAsia="zh-CN"/>
        </w:rPr>
        <w:t xml:space="preserve"> </w:t>
      </w:r>
      <w:r>
        <w:rPr>
          <w:rFonts w:hint="eastAsia"/>
          <w:u w:val="thick"/>
          <w:lang w:val="en-US" w:eastAsia="zh-CN"/>
        </w:rPr>
        <w:t xml:space="preserve"> </w:t>
      </w:r>
      <w:r>
        <w:rPr>
          <w:rFonts w:hint="eastAsia" w:ascii="黑体" w:hAnsi="黑体" w:eastAsia="黑体" w:cs="黑体"/>
          <w:u w:val="thick"/>
        </w:rPr>
        <w:t>______________________</w:t>
      </w:r>
    </w:p>
    <w:p>
      <w:pPr>
        <w:jc w:val="both"/>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center"/>
        <w:rPr>
          <w:rFonts w:hint="eastAsia" w:ascii="黑体" w:hAnsi="黑体" w:eastAsia="黑体" w:cs="黑体"/>
          <w:sz w:val="21"/>
          <w:szCs w:val="21"/>
          <w:lang w:val="en-US" w:eastAsia="zh-CN"/>
        </w:rPr>
      </w:pPr>
    </w:p>
    <w:p>
      <w:pPr>
        <w:jc w:val="both"/>
        <w:rPr>
          <w:rFonts w:hint="eastAsia" w:ascii="黑体" w:hAnsi="黑体" w:eastAsia="黑体" w:cs="黑体"/>
          <w:sz w:val="21"/>
          <w:szCs w:val="21"/>
          <w:lang w:val="en-US" w:eastAsia="zh-CN"/>
        </w:rPr>
      </w:pPr>
    </w:p>
    <w:p>
      <w:pPr>
        <w:jc w:val="both"/>
        <w:rPr>
          <w:rFonts w:hint="eastAsia" w:ascii="宋体" w:hAnsi="宋体" w:eastAsia="宋体" w:cs="宋体"/>
          <w:sz w:val="21"/>
          <w:szCs w:val="21"/>
          <w:lang w:val="en-US" w:eastAsia="zh-CN"/>
        </w:rPr>
      </w:pPr>
    </w:p>
    <w:p>
      <w:pPr>
        <w:jc w:val="both"/>
        <w:rPr>
          <w:rFonts w:hint="default" w:ascii="宋体" w:hAnsi="宋体" w:eastAsia="宋体" w:cs="宋体"/>
          <w:sz w:val="21"/>
          <w:szCs w:val="21"/>
          <w:lang w:val="en-US" w:eastAsia="zh-CN"/>
        </w:rPr>
      </w:pPr>
    </w:p>
    <w:p/>
    <w:sectPr>
      <w:headerReference r:id="rId5" w:type="default"/>
      <w:footerReference r:id="rId6"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lang w:val="en-US" w:eastAsia="zh-CN"/>
      </w:rPr>
      <w:t>DB2105</w:t>
    </w:r>
    <w:r>
      <w:t>/</w:t>
    </w:r>
    <w:r>
      <w:rPr>
        <w:rFonts w:hint="eastAsia"/>
        <w:lang w:val="en-US" w:eastAsia="zh-CN"/>
      </w:rPr>
      <w:t>T</w:t>
    </w:r>
    <w:r>
      <w:t xml:space="preserve"> </w:t>
    </w:r>
    <w:r>
      <w:rPr>
        <w:rFonts w:hint="eastAsia"/>
        <w:lang w:val="en-US" w:eastAsia="zh-CN"/>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7350" w:firstLineChars="3500"/>
      <w:rPr>
        <w:rFonts w:hint="eastAsia" w:eastAsia="黑体"/>
        <w:lang w:eastAsia="zh-CN"/>
      </w:rPr>
    </w:pPr>
    <w:r>
      <w:rPr>
        <w:rFonts w:hint="eastAsia"/>
        <w:lang w:val="en-US" w:eastAsia="zh-CN"/>
      </w:rPr>
      <w:t>DB2105</w:t>
    </w:r>
    <w:r>
      <w:t>/</w:t>
    </w:r>
    <w:r>
      <w:rPr>
        <w:rFonts w:hint="eastAsia"/>
        <w:lang w:val="en-US" w:eastAsia="zh-CN"/>
      </w:rPr>
      <w:t>T xxx</w:t>
    </w:r>
    <w:r>
      <w:t>—20</w:t>
    </w:r>
    <w:r>
      <w:rPr>
        <w:rFonts w:hint="eastAsia"/>
      </w:rPr>
      <w:t>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3"/>
      <w:suff w:val="nothing"/>
      <w:lvlText w:val="%1%2　"/>
      <w:lvlJc w:val="left"/>
      <w:pPr>
        <w:ind w:left="426"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color w:val="000000"/>
        <w:spacing w:val="0"/>
        <w:w w:val="100"/>
        <w:kern w:val="0"/>
        <w:positio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YzJmNGJkZjVhNDEwZDVlNjU4Y2Q0YzRmZDMxMjEifQ=="/>
  </w:docVars>
  <w:rsids>
    <w:rsidRoot w:val="3FDF40DC"/>
    <w:rsid w:val="246B013E"/>
    <w:rsid w:val="2BF761E5"/>
    <w:rsid w:val="2EFF8170"/>
    <w:rsid w:val="3EAF5205"/>
    <w:rsid w:val="3EF706F7"/>
    <w:rsid w:val="3FDF40DC"/>
    <w:rsid w:val="4BDBD1D5"/>
    <w:rsid w:val="5FF7B2F7"/>
    <w:rsid w:val="6DBF36B3"/>
    <w:rsid w:val="73FFB638"/>
    <w:rsid w:val="7BFC5B3B"/>
    <w:rsid w:val="7ED7B503"/>
    <w:rsid w:val="7F9FE6D2"/>
    <w:rsid w:val="F378E8AC"/>
    <w:rsid w:val="FC1EDB32"/>
    <w:rsid w:val="FCBD3633"/>
    <w:rsid w:val="FF6F9410"/>
    <w:rsid w:val="FFDA281B"/>
    <w:rsid w:val="FFEB24E0"/>
    <w:rsid w:val="FFFB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
    <w:name w:val="封面标准英文名称"/>
    <w:basedOn w:val="7"/>
    <w:qFormat/>
    <w:uiPriority w:val="0"/>
    <w:pPr>
      <w:spacing w:before="370" w:line="400" w:lineRule="exact"/>
    </w:pPr>
    <w:rPr>
      <w:rFonts w:ascii="Times New Roman"/>
      <w:sz w:val="28"/>
      <w:szCs w:val="28"/>
    </w:rPr>
  </w:style>
  <w:style w:type="paragraph" w:customStyle="1" w:styleId="9">
    <w:name w:val="封面标准文稿类别"/>
    <w:basedOn w:val="10"/>
    <w:autoRedefine/>
    <w:qFormat/>
    <w:uiPriority w:val="0"/>
    <w:pPr>
      <w:spacing w:after="160" w:line="240" w:lineRule="auto"/>
    </w:pPr>
    <w:rPr>
      <w:sz w:val="24"/>
    </w:rPr>
  </w:style>
  <w:style w:type="paragraph" w:customStyle="1" w:styleId="10">
    <w:name w:val="封面一致性程度标识"/>
    <w:basedOn w:val="8"/>
    <w:autoRedefine/>
    <w:qFormat/>
    <w:uiPriority w:val="0"/>
    <w:pPr>
      <w:spacing w:before="440"/>
    </w:pPr>
    <w:rPr>
      <w:rFonts w:ascii="宋体" w:eastAsia="宋体"/>
    </w:rPr>
  </w:style>
  <w:style w:type="paragraph" w:customStyle="1" w:styleId="11">
    <w:name w:val="封面标准文稿编辑信息"/>
    <w:basedOn w:val="9"/>
    <w:autoRedefine/>
    <w:qFormat/>
    <w:uiPriority w:val="0"/>
    <w:pPr>
      <w:spacing w:before="180" w:line="180" w:lineRule="exact"/>
    </w:pPr>
    <w:rPr>
      <w:sz w:val="21"/>
    </w:rPr>
  </w:style>
  <w:style w:type="paragraph" w:customStyle="1" w:styleId="12">
    <w:name w:val="其他发布日期"/>
    <w:basedOn w:val="13"/>
    <w:autoRedefine/>
    <w:qFormat/>
    <w:uiPriority w:val="0"/>
    <w:pPr>
      <w:framePr w:vAnchor="page" w:hAnchor="page" w:x="1419"/>
    </w:pPr>
  </w:style>
  <w:style w:type="paragraph" w:customStyle="1" w:styleId="1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
    <w:name w:val="其他实施日期"/>
    <w:basedOn w:val="15"/>
    <w:autoRedefine/>
    <w:qFormat/>
    <w:uiPriority w:val="0"/>
  </w:style>
  <w:style w:type="paragraph" w:customStyle="1" w:styleId="15">
    <w:name w:val="实施日期"/>
    <w:basedOn w:val="13"/>
    <w:autoRedefine/>
    <w:qFormat/>
    <w:uiPriority w:val="0"/>
    <w:pPr>
      <w:framePr w:vAnchor="page" w:hAnchor="page"/>
      <w:jc w:val="right"/>
    </w:pPr>
  </w:style>
  <w:style w:type="paragraph" w:customStyle="1" w:styleId="16">
    <w:name w:val="其他发布部门"/>
    <w:basedOn w:val="17"/>
    <w:autoRedefine/>
    <w:qFormat/>
    <w:uiPriority w:val="0"/>
    <w:pPr>
      <w:framePr w:y="15310"/>
      <w:spacing w:line="0" w:lineRule="atLeast"/>
    </w:pPr>
    <w:rPr>
      <w:rFonts w:ascii="黑体" w:eastAsia="黑体"/>
      <w:b w:val="0"/>
    </w:rPr>
  </w:style>
  <w:style w:type="paragraph" w:customStyle="1" w:styleId="17">
    <w:name w:val="发布部门"/>
    <w:next w:val="1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发布"/>
    <w:autoRedefine/>
    <w:qFormat/>
    <w:uiPriority w:val="0"/>
    <w:rPr>
      <w:rFonts w:ascii="黑体" w:eastAsia="黑体"/>
      <w:spacing w:val="85"/>
      <w:w w:val="100"/>
      <w:position w:val="3"/>
      <w:sz w:val="28"/>
      <w:szCs w:val="28"/>
    </w:rPr>
  </w:style>
  <w:style w:type="paragraph" w:customStyle="1" w:styleId="20">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1">
    <w:name w:val="章标题"/>
    <w:next w:val="18"/>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章标题"/>
    <w:next w:val="22"/>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4">
    <w:name w:val="一级条标题"/>
    <w:next w:val="18"/>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二级条标题"/>
    <w:basedOn w:val="24"/>
    <w:next w:val="18"/>
    <w:autoRedefine/>
    <w:qFormat/>
    <w:uiPriority w:val="0"/>
    <w:pPr>
      <w:numPr>
        <w:ilvl w:val="2"/>
        <w:numId w:val="1"/>
      </w:numPr>
      <w:spacing w:before="50" w:after="50"/>
      <w:outlineLvl w:val="3"/>
    </w:pPr>
  </w:style>
  <w:style w:type="paragraph" w:customStyle="1" w:styleId="26">
    <w:name w:val="终结线"/>
    <w:basedOn w:val="1"/>
    <w:autoRedefine/>
    <w:qFormat/>
    <w:uiPriority w:val="0"/>
    <w:pPr>
      <w:framePr w:hSpace="181" w:vSpace="181" w:wrap="around" w:vAnchor="text" w:hAnchor="margin" w:xAlign="center" w:y="285"/>
    </w:pPr>
  </w:style>
  <w:style w:type="paragraph" w:customStyle="1" w:styleId="27">
    <w:name w:val="标准书眉_偶数页"/>
    <w:basedOn w:val="28"/>
    <w:next w:val="1"/>
    <w:autoRedefine/>
    <w:qFormat/>
    <w:uiPriority w:val="0"/>
    <w:pPr>
      <w:tabs>
        <w:tab w:val="center" w:pos="4154"/>
        <w:tab w:val="right" w:pos="8306"/>
      </w:tabs>
      <w:jc w:val="left"/>
    </w:pPr>
    <w:rPr>
      <w:rFonts w:ascii="黑体" w:eastAsia="黑体"/>
    </w:rPr>
  </w:style>
  <w:style w:type="paragraph" w:customStyle="1" w:styleId="28">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2023-07-18T07:23:00Z</dcterms:created>
  <dc:creator>user</dc:creator>
  <cp:lastModifiedBy>沉沦伯爵</cp:lastModifiedBy>
  <dcterms:modified xsi:type="dcterms:W3CDTF">2024-03-22T08:46:26Z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60B944A9429E45319FB43A23FDC29FC8_12</vt:lpwstr>
  </property>
</Properties>
</file>