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Theme="minorEastAsia" w:hAnsiTheme="minorEastAsia"/>
          <w:color w:val="auto"/>
          <w:sz w:val="44"/>
          <w:szCs w:val="44"/>
        </w:rPr>
      </w:pPr>
      <w:r>
        <w:rPr>
          <w:rFonts w:asciiTheme="minorEastAsia" w:hAnsiTheme="minorEastAsia"/>
          <w:color w:val="auto"/>
          <w:sz w:val="44"/>
          <w:szCs w:val="44"/>
        </w:rPr>
        <w:t>本溪市贯彻落实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Theme="minorEastAsia" w:hAnsiTheme="minorEastAsia"/>
          <w:color w:val="auto"/>
          <w:sz w:val="44"/>
          <w:szCs w:val="44"/>
        </w:rPr>
      </w:pPr>
      <w:r>
        <w:rPr>
          <w:rFonts w:asciiTheme="minorEastAsia" w:hAnsiTheme="minorEastAsia"/>
          <w:color w:val="auto"/>
          <w:sz w:val="44"/>
          <w:szCs w:val="44"/>
        </w:rPr>
        <w:t>《计量发展规划(2021-2035年)》实施方案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inorEastAsia" w:hAnsiTheme="minorEastAsia" w:eastAsiaTheme="minorEastAsia"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/>
          <w:color w:val="auto"/>
          <w:sz w:val="44"/>
          <w:szCs w:val="44"/>
          <w:lang w:eastAsia="zh-CN"/>
        </w:rPr>
        <w:t>（征求意见稿）</w:t>
      </w:r>
    </w:p>
    <w:p>
      <w:pPr>
        <w:jc w:val="left"/>
        <w:rPr>
          <w:rFonts w:asciiTheme="minorEastAsia" w:hAnsiTheme="minorEastAsia"/>
          <w:color w:val="auto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《国务院关于印发计量发展规划（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）的通知》（国发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和省政府《关于贯彻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落实</w:t>
      </w:r>
      <w:r>
        <w:rPr>
          <w:rFonts w:ascii="仿宋" w:hAnsi="仿宋" w:eastAsia="仿宋"/>
          <w:color w:val="auto"/>
          <w:sz w:val="32"/>
          <w:szCs w:val="32"/>
        </w:rPr>
        <w:t>&lt;计量发展规划(2021-20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</w:t>
      </w:r>
      <w:r>
        <w:rPr>
          <w:rFonts w:ascii="仿宋" w:hAnsi="仿宋" w:eastAsia="仿宋"/>
          <w:color w:val="auto"/>
          <w:sz w:val="32"/>
          <w:szCs w:val="32"/>
        </w:rPr>
        <w:t>年)&gt;的实施意见》(</w:t>
      </w:r>
      <w:r>
        <w:rPr>
          <w:rFonts w:hint="eastAsia" w:ascii="仿宋" w:hAnsi="仿宋" w:eastAsia="仿宋"/>
          <w:color w:val="auto"/>
          <w:sz w:val="32"/>
          <w:szCs w:val="32"/>
        </w:rPr>
        <w:t>辽</w:t>
      </w:r>
      <w:r>
        <w:rPr>
          <w:rFonts w:ascii="仿宋" w:hAnsi="仿宋" w:eastAsia="仿宋"/>
          <w:color w:val="auto"/>
          <w:sz w:val="32"/>
          <w:szCs w:val="32"/>
        </w:rPr>
        <w:t>政发〔202</w:t>
      </w:r>
      <w:r>
        <w:rPr>
          <w:rFonts w:hint="eastAsia" w:ascii="仿宋" w:hAnsi="仿宋" w:eastAsia="仿宋"/>
          <w:color w:val="auto"/>
          <w:sz w:val="32"/>
          <w:szCs w:val="32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sz w:val="32"/>
          <w:szCs w:val="32"/>
        </w:rPr>
        <w:t>9</w:t>
      </w:r>
      <w:r>
        <w:rPr>
          <w:rFonts w:ascii="仿宋" w:hAnsi="仿宋" w:eastAsia="仿宋"/>
          <w:color w:val="auto"/>
          <w:sz w:val="32"/>
          <w:szCs w:val="32"/>
        </w:rPr>
        <w:t>号),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充分发挥计量基础性、战略性、支撑性作用，</w:t>
      </w:r>
      <w:r>
        <w:rPr>
          <w:rFonts w:ascii="仿宋" w:hAnsi="仿宋" w:eastAsia="仿宋"/>
          <w:color w:val="auto"/>
          <w:sz w:val="32"/>
          <w:szCs w:val="32"/>
        </w:rPr>
        <w:t>全面提升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我市</w:t>
      </w:r>
      <w:r>
        <w:rPr>
          <w:rFonts w:ascii="仿宋" w:hAnsi="仿宋" w:eastAsia="仿宋"/>
          <w:color w:val="auto"/>
          <w:sz w:val="32"/>
          <w:szCs w:val="32"/>
        </w:rPr>
        <w:t>计量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服务</w:t>
      </w:r>
      <w:r>
        <w:rPr>
          <w:rFonts w:ascii="仿宋" w:hAnsi="仿宋" w:eastAsia="仿宋"/>
          <w:color w:val="auto"/>
          <w:sz w:val="32"/>
          <w:szCs w:val="32"/>
        </w:rPr>
        <w:t>能力和水平,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推动本溪经济社会高质量发展，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结合本溪实际，</w:t>
      </w:r>
      <w:r>
        <w:rPr>
          <w:rFonts w:ascii="仿宋" w:hAnsi="仿宋" w:eastAsia="仿宋"/>
          <w:color w:val="auto"/>
          <w:sz w:val="32"/>
          <w:szCs w:val="32"/>
        </w:rPr>
        <w:t xml:space="preserve">制定本实施方案。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总体要求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以习近平新时代中国特色社会主义思想为指导，深入学习贯彻党的二十大精神，全面落实习近平总书记关于东北、辽宁振兴发展的重要讲话和指示批示精神，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完整、准确、全面贯彻新发展理念，以全面振兴新突破三年行动为引领，面向全市经济和民生需求，加强对计量事业发展的全局性谋划、战略性布局、整体性推进，加强计量基础能力建设，强化计量服务支撑，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融入新发展</w:t>
      </w:r>
      <w:r>
        <w:rPr>
          <w:rFonts w:hint="eastAsia" w:ascii="仿宋" w:hAnsi="仿宋" w:eastAsia="仿宋" w:cs="仿宋"/>
          <w:sz w:val="32"/>
          <w:szCs w:val="32"/>
        </w:rPr>
        <w:t>格局，完善计量标准和量传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溯源</w:t>
      </w:r>
      <w:r>
        <w:rPr>
          <w:rFonts w:hint="eastAsia" w:ascii="仿宋" w:hAnsi="仿宋" w:eastAsia="仿宋" w:cs="仿宋"/>
          <w:sz w:val="32"/>
          <w:szCs w:val="32"/>
        </w:rPr>
        <w:t>体系，提升计量服务能力，提高计量法治水平，为我市经济社会高质量发展提供坚实计量基础支撑和保障。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二、</w:t>
      </w:r>
      <w:r>
        <w:rPr>
          <w:rFonts w:ascii="仿宋" w:hAnsi="仿宋" w:eastAsia="仿宋"/>
          <w:color w:val="auto"/>
          <w:sz w:val="32"/>
          <w:szCs w:val="32"/>
        </w:rPr>
        <w:t xml:space="preserve">工作目标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到2025年，全市现代先进测量体系初步建立，计量服务保障作用显著增强，市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、县两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级社会公用计量标准建设强制检定工作计量器具项目覆盖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达到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90%以上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。引导培育诚信计量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自我承诺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示范单位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家以上。培养造就一批计量人才，注册计量师获证人员达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到法定计量技术机构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实际在岗技术人员总数的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%以上。计量监管体制机制逐步健全，社会计量溯源意识不断强化，服务全市经济社会高质量发展的计量体系日趋完善。</w:t>
      </w:r>
      <w:r>
        <w:rPr>
          <w:rFonts w:ascii="仿宋" w:hAnsi="仿宋" w:eastAsia="仿宋"/>
          <w:color w:val="auto"/>
          <w:sz w:val="32"/>
          <w:szCs w:val="32"/>
        </w:rPr>
        <w:t>展望2035年,全市计量科技创新水平大幅提升,形成全社会共建、共治、共享的计量发展新格局,全面建成符合时代发展需求的现代化先进测量体系、现代化计量服务体系和现代化计量治理体系。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、重点任务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加强计量标准建设。统筹规划全市社会公用计量标准建设。聚焦重点领域,新建或更新完善一批我市经济社会发展急需的社会公用计量标准。推进关键领域计量标准建设,持续提升计量器具强制检定项目覆盖率。推进社会公用计量标准创新发展。(责任部门:市市场监管局、市科技局。列第一位的为牵头单位,下同)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计量技术机构建设。深化计量技术机构改革创新发展,推进市县两级计量技术机构统筹发展。加强普惠性、基础性和公益性计量基础设施建设。推进计量机构数字化建设,提升计量技术机构能力水平。(责任单位:市市场监管局)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加强计量人才队伍建设。强化计量业务知识和实操能力培训,提升计量专业人员技术水平。加强注册计量师培养,推进注册计量师职业资格与职称、职业技能等级等制度的衔接。鼓励企事业及其他单位计量人员参加注册计量师资格考试,支持符合条件的计量领域企业面向本企业职工开展职称、职业技能等级认定。(责任单位:市市场监管局、市科技局、市人社局)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完善企业测量体系。强化企业计量主体地位,引导企业建立完善计量管理制度和保障体系,鼓励企业通过测量管理体系认证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和能源管理体系认证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。推行企业计量能力自我声明制度,引导企业加大计量投入, 加强计量创新和人才培养,强化测量控制和数据应用,全面提升企业计量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能力。(责任单位:市市场监管局、市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信局)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服务碳达峰碳中和目标实现。推进运行重点企业能耗在线监测系统，建立完善碳达峰碳中和标准计量体系。鼓励支持有能力的计量技术机构建立碳计量标准装置，开展碳计量工作，为温室气体排放可测量、可报告、可核查提供计量支撑。开展重点用能单位能源计量审查，指导企业科学配备、依法管理能源计量器具，支持重点耗能行业有效节能降耗，积极开展能源资源计量服务示范工程建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（责任单位：市市场监管局、市发展改革委、市生态环境局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强化重点领域计量保障。完善生产安全、公共安全以及自然灾害防御计量保障体系,健全交通和工程建设领域量值溯源体系。加强公共卫生计量服务体系建设,完善疾病防控、生物安全、精准医疗、生命救治与监护、营养与保健食品等生命健康领域计量保障能力。加强对涉农物资、农业加工等领域计量服务保障,加大乡村计量服务供给。(责任单位:市市场监管局、市住建局、市交通局、市农业农村局、市卫健委、市应急局)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加强计量监管执法。加强各级政府和计量部门针对计量器具的管理和监督。加大对制造、销售和使用带有作弊功能计量器具等违法行为的查处力度,严厉打击缺斤短两、伪造数据、出具虚假计量证书和报告的违法违规行为。加强计量执法队伍建设,提升计量执法装备水平。加强计量数据和测量方法的精准验证,强化检验检测、认证认可领域计量溯源性监管。做好行政执法与刑事司法衔接,完善查处重大计量违法案件快速反应机制和执法联动机制。加强计量监管与综合执法衔接,强化信息共享,提升执法效率。(责任单位:市市场监管局、市公安局)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强化民生计量监督管理。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落实计量惠民工程，提高民用“四表”、公共交通、医疗健康、乡村振兴等领域强制检定能力，推广使用国家法定计量单位，持续开展集贸市场、眼镜制配场所、加油站、餐饮场所、商场超市、定量包装商品等重点民生领域专项监督检查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(责任单位: 市市场监管局)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推进诚信计量体系建设。建立以经营者自我承诺为主、政府部门推动为辅、社会各界监督为补充的诚信计量管理模式。聚焦消费环境、消费供给和消费维权等领域,全面开展诚信计量行动,推行经营者诚信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计量自我承诺,选树诚信计量示范单位。推进企业计量信用分类管理,完善诚信计量信息公开机制,引导企业将诚信计量工作落到实处。(责任单位:市市场监管局)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（十）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加强组织领导。坚持党对计量工作的全面领导,建立健全上下贯通、执行有力的计量工作体系。各县(区)政府、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各相关部门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要高度重视计量工作,明确计量工作重点,分解目标任务,强化责任落实,确保各项工作落到实处。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（十一）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提供工作保障。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各县(区)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要加大对法定计量技术机构的支持保障，加强计量基础设施、计量科研、社会公用计量标准、强制检定实施机构、计量数据、专业技术人员等国家战略资源能力建设；要制定具体措施，完善计量基础设施、运行经费、专业人员保障机制，将公益性计量工作经费纳入本级财政年度预算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各县(区)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市科技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、市财政局、市人社局、市市场监管局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各相关部门要促进科技、产业、财政、人才等政策协同，大力支持计量科研项目和计量技术平台建设，积极引导社会资源参与测量技术、设施研发和产品应用，鼓励法定计量技术机构依法开展经营性技术服务，加强计量重要科研创新人才培育引进。（责任单位：市科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、市发展改革委、市财政局、市人社局、市市场监管局）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加强计量宣传。深化计量科普宣传,以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世界计量日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消费者权益保护日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”为重点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,引导全社会认识计量、重视计量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大力宣传计量促进经济社会发展重要作用。组织开展计量科普进校园、进医院、进社区等活动，面向社会普及计量知识和计量文化，不断提升计量工作社会影响力。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（责任单位：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市场监管局、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）加强评估考核。各县(区)政府、市级各有关部门要按照职责分工,对方案实施情况进行监督检查。市市场监管局要会同有关部门加强方案实施情况开展跟踪监测,通过第三方评估等方式开展中期评估和总结评估，及时总结推广典型经验做法，及时发现实施中存在的问题并研究解决对策，重要情况及时报告市政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（责任单位：市市场监管局、各有关部门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和单位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</w:t>
      </w:r>
    </w:p>
    <w:p>
      <w:pPr>
        <w:adjustRightInd w:val="0"/>
        <w:snapToGrid w:val="0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63F2F"/>
    <w:multiLevelType w:val="singleLevel"/>
    <w:tmpl w:val="D3F63F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YjQ0OGM3ZmFkYzRlYmMzMTRlMDQwZDMzNjY1ODUifQ=="/>
  </w:docVars>
  <w:rsids>
    <w:rsidRoot w:val="007223F2"/>
    <w:rsid w:val="00105B71"/>
    <w:rsid w:val="001749F0"/>
    <w:rsid w:val="001D0130"/>
    <w:rsid w:val="002426B7"/>
    <w:rsid w:val="002D330D"/>
    <w:rsid w:val="003E1BF0"/>
    <w:rsid w:val="004119F6"/>
    <w:rsid w:val="004E7CD4"/>
    <w:rsid w:val="006F5B62"/>
    <w:rsid w:val="007223F2"/>
    <w:rsid w:val="007C1040"/>
    <w:rsid w:val="008B120D"/>
    <w:rsid w:val="008D13B5"/>
    <w:rsid w:val="00900FC4"/>
    <w:rsid w:val="00994518"/>
    <w:rsid w:val="009F7F8A"/>
    <w:rsid w:val="00A74E3B"/>
    <w:rsid w:val="00A824E8"/>
    <w:rsid w:val="00B23F8F"/>
    <w:rsid w:val="00BA1C15"/>
    <w:rsid w:val="00C96D30"/>
    <w:rsid w:val="00CA0FB0"/>
    <w:rsid w:val="00CC19D1"/>
    <w:rsid w:val="00D661B8"/>
    <w:rsid w:val="00DD5681"/>
    <w:rsid w:val="00DD5763"/>
    <w:rsid w:val="00E0608A"/>
    <w:rsid w:val="00F64CC0"/>
    <w:rsid w:val="05D435B9"/>
    <w:rsid w:val="0725427B"/>
    <w:rsid w:val="0A4444E4"/>
    <w:rsid w:val="0A821835"/>
    <w:rsid w:val="0EF7A782"/>
    <w:rsid w:val="25EB3E6A"/>
    <w:rsid w:val="274102F8"/>
    <w:rsid w:val="3598340C"/>
    <w:rsid w:val="3C047A4D"/>
    <w:rsid w:val="3DA2751D"/>
    <w:rsid w:val="3F57209A"/>
    <w:rsid w:val="3FFF40CF"/>
    <w:rsid w:val="43CB9B52"/>
    <w:rsid w:val="482E032B"/>
    <w:rsid w:val="48F82B68"/>
    <w:rsid w:val="4ACE314B"/>
    <w:rsid w:val="4F4C553B"/>
    <w:rsid w:val="52D51DEF"/>
    <w:rsid w:val="53D72AAB"/>
    <w:rsid w:val="53FB1423"/>
    <w:rsid w:val="57B7822C"/>
    <w:rsid w:val="585C5545"/>
    <w:rsid w:val="5DEF486D"/>
    <w:rsid w:val="5DFE3B3C"/>
    <w:rsid w:val="627B40A6"/>
    <w:rsid w:val="662D5327"/>
    <w:rsid w:val="6E5AEF2C"/>
    <w:rsid w:val="7144173E"/>
    <w:rsid w:val="77FE2A85"/>
    <w:rsid w:val="791D56CF"/>
    <w:rsid w:val="7ABA3C38"/>
    <w:rsid w:val="7BE75B20"/>
    <w:rsid w:val="7DEAB402"/>
    <w:rsid w:val="93F76828"/>
    <w:rsid w:val="B4FF915B"/>
    <w:rsid w:val="BFFB22C8"/>
    <w:rsid w:val="CBAE2C5E"/>
    <w:rsid w:val="DFF98B39"/>
    <w:rsid w:val="EFF75632"/>
    <w:rsid w:val="F94617C9"/>
    <w:rsid w:val="FF526EDC"/>
    <w:rsid w:val="FFF79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416</Words>
  <Characters>2374</Characters>
  <Lines>19</Lines>
  <Paragraphs>5</Paragraphs>
  <TotalTime>10</TotalTime>
  <ScaleCrop>false</ScaleCrop>
  <LinksUpToDate>false</LinksUpToDate>
  <CharactersWithSpaces>2785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2023-08-27T08:39:00Z</dcterms:created>
  <dc:creator>Apache POI</dc:creator>
  <cp:lastModifiedBy>user</cp:lastModifiedBy>
  <cp:lastPrinted>2023-11-30T03:08:00Z</cp:lastPrinted>
  <dcterms:modified xsi:type="dcterms:W3CDTF">2023-11-29T13:42:51Z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E836253DB3BD4881BBD498FC10477865_13</vt:lpwstr>
  </property>
</Properties>
</file>