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bookmarkStart w:id="0" w:name="DBMark2"/>
      <w:bookmarkStart w:id="1" w:name="_Toc30060"/>
      <w:r>
        <w:rPr>
          <w:rFonts w:hint="eastAsia" w:ascii="黑体" w:hAnsi="Times New Roman" w:eastAsia="黑体" w:cs="Times New Roman"/>
          <w:sz w:val="48"/>
          <w:lang w:val="en-US" w:eastAsia="zh-CN"/>
        </w:rPr>
        <w:fldChar w:fldCharType="begin">
          <w:ffData>
            <w:name w:val="DBMark2"/>
            <w:enabled/>
            <w:calcOnExit w:val="0"/>
            <w:textInput>
              <w:default w:val="本溪市"/>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本溪市</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2105/T 001—2023"/>
            </w:textInput>
          </w:ffData>
        </w:fldChar>
      </w:r>
      <w:bookmarkStart w:id="2"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DB2105/T 012—2023</w:t>
      </w:r>
      <w:r>
        <w:rPr>
          <w:rFonts w:hint="eastAsia"/>
          <w:lang w:val="en-US" w:eastAsia="zh-CN"/>
        </w:rPr>
        <w:fldChar w:fldCharType="end"/>
      </w:r>
      <w:bookmarkEnd w:id="2"/>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3"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蛤蟆油"/>
            </w:textInput>
          </w:ffData>
        </w:fldChar>
      </w:r>
      <w:bookmarkStart w:id="4"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桓仁蛤蟆油</w:t>
      </w:r>
      <w:r>
        <w:rPr>
          <w:rFonts w:hint="eastAsia"/>
          <w:lang w:val="en-US" w:eastAsia="zh-CN"/>
        </w:rPr>
        <w:fldChar w:fldCharType="end"/>
      </w:r>
      <w:bookmarkEnd w:id="4"/>
    </w:p>
    <w:p>
      <w:pPr>
        <w:pStyle w:val="41"/>
        <w:bidi w:val="0"/>
        <w:rPr>
          <w:rFonts w:hint="eastAsia"/>
          <w:lang w:val="en-US" w:eastAsia="zh-CN"/>
        </w:rPr>
      </w:pPr>
      <w:bookmarkStart w:id="5"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Product of geographical indication Huanren forest frog's oviduct"/>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Product of geographical indication</w:t>
      </w:r>
      <w:r>
        <w:rPr>
          <w:rFonts w:hint="eastAsia" w:cs="Times New Roman"/>
          <w:sz w:val="28"/>
          <w:lang w:val="en-US" w:eastAsia="zh-CN"/>
        </w:rPr>
        <w:t>——</w:t>
      </w:r>
      <w:r>
        <w:rPr>
          <w:rFonts w:hint="eastAsia" w:ascii="Times New Roman" w:hAnsi="Times New Roman" w:eastAsia="黑体" w:cs="Times New Roman"/>
          <w:sz w:val="28"/>
          <w:lang w:val="en-US" w:eastAsia="zh-CN"/>
        </w:rPr>
        <w:t xml:space="preserve"> Huanren forest frog's oviduct</w:t>
      </w:r>
      <w:r>
        <w:rPr>
          <w:rFonts w:hint="eastAsia" w:ascii="Times New Roman" w:hAnsi="Times New Roman" w:eastAsia="黑体" w:cs="Times New Roman"/>
          <w:sz w:val="28"/>
          <w:lang w:val="en-US" w:eastAsia="zh-CN"/>
        </w:rPr>
        <w:fldChar w:fldCharType="end"/>
      </w:r>
      <w:bookmarkEnd w:id="5"/>
    </w:p>
    <w:p>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t>2023 - 11 - 25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t>2023 - 12- 25 实施</w:t>
            </w:r>
          </w:p>
        </w:tc>
      </w:tr>
    </w:tbl>
    <w:p>
      <w:pPr>
        <w:pStyle w:val="47"/>
        <w:bidi w:val="0"/>
        <w:spacing w:before="0"/>
        <w:rPr>
          <w:rFonts w:hint="eastAsia"/>
          <w:spacing w:val="0"/>
          <w:w w:val="100"/>
          <w:sz w:val="28"/>
          <w:lang w:val="en-US" w:eastAsia="zh-CN"/>
        </w:rPr>
      </w:pPr>
      <w:bookmarkStart w:id="7" w:name="FM2"/>
      <w:r>
        <w:rPr>
          <w:rFonts w:hint="eastAsia" w:ascii="黑体" w:hAnsi="黑体" w:eastAsia="黑体" w:cs="Times New Roman"/>
          <w:spacing w:val="0"/>
          <w:w w:val="100"/>
          <w:sz w:val="32"/>
          <w:szCs w:val="32"/>
          <w:lang w:val="en-US" w:eastAsia="zh-CN"/>
        </w:rPr>
        <w:fldChar w:fldCharType="begin">
          <w:ffData>
            <w:name w:val="FM2"/>
            <w:enabled/>
            <w:calcOnExit w:val="0"/>
            <w:textInput>
              <w:default w:val="本溪市市场监督管理局"/>
            </w:textInput>
          </w:ffData>
        </w:fldChar>
      </w:r>
      <w:r>
        <w:rPr>
          <w:rFonts w:hint="eastAsia" w:ascii="黑体" w:hAnsi="黑体" w:eastAsia="黑体" w:cs="Times New Roman"/>
          <w:spacing w:val="0"/>
          <w:w w:val="100"/>
          <w:sz w:val="32"/>
          <w:szCs w:val="32"/>
          <w:lang w:val="en-US" w:eastAsia="zh-CN"/>
        </w:rPr>
        <w:instrText xml:space="preserve">FORMTEXT</w:instrText>
      </w:r>
      <w:r>
        <w:rPr>
          <w:rFonts w:hint="eastAsia" w:ascii="黑体" w:hAnsi="黑体" w:eastAsia="黑体" w:cs="Times New Roman"/>
          <w:spacing w:val="0"/>
          <w:w w:val="100"/>
          <w:sz w:val="32"/>
          <w:szCs w:val="32"/>
          <w:lang w:val="en-US" w:eastAsia="zh-CN"/>
        </w:rPr>
        <w:fldChar w:fldCharType="separate"/>
      </w:r>
      <w:r>
        <w:rPr>
          <w:rFonts w:hint="eastAsia" w:ascii="黑体" w:hAnsi="黑体" w:eastAsia="黑体" w:cs="Times New Roman"/>
          <w:spacing w:val="0"/>
          <w:w w:val="100"/>
          <w:sz w:val="32"/>
          <w:szCs w:val="32"/>
          <w:lang w:val="en-US" w:eastAsia="zh-CN"/>
        </w:rPr>
        <w:t>本溪市市场监督管理局</w:t>
      </w:r>
      <w:r>
        <w:rPr>
          <w:rFonts w:hint="eastAsia" w:ascii="黑体" w:hAnsi="黑体" w:eastAsia="黑体" w:cs="Times New Roman"/>
          <w:spacing w:val="0"/>
          <w:w w:val="100"/>
          <w:sz w:val="32"/>
          <w:szCs w:val="32"/>
          <w:lang w:val="en-US" w:eastAsia="zh-CN"/>
        </w:rPr>
        <w:fldChar w:fldCharType="end"/>
      </w:r>
      <w:bookmarkEnd w:id="7"/>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bidi w:val="0"/>
              <w:jc w:val="both"/>
              <w:rPr>
                <w:rFonts w:hint="default"/>
                <w:vertAlign w:val="baseline"/>
                <w:lang w:val="en-US" w:eastAsia="zh-CN"/>
              </w:rPr>
            </w:pPr>
            <w:r>
              <w:rPr>
                <w:rFonts w:hint="eastAsia"/>
                <w:vertAlign w:val="baseline"/>
                <w:lang w:val="en-US" w:eastAsia="zh-CN"/>
              </w:rPr>
              <w:t>67.230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bidi w:val="0"/>
              <w:jc w:val="both"/>
              <w:rPr>
                <w:rFonts w:hint="default"/>
                <w:vertAlign w:val="baseline"/>
                <w:lang w:val="en-US" w:eastAsia="zh-CN"/>
              </w:rPr>
            </w:pPr>
            <w:r>
              <w:rPr>
                <w:rFonts w:hint="eastAsia"/>
                <w:vertAlign w:val="baseline"/>
                <w:lang w:val="en-US" w:eastAsia="zh-CN"/>
              </w:rPr>
              <w:t>X 83</w:t>
            </w:r>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9525" b="12065"/>
                        <wp:docPr id="4" name="图片 4" descr="地标"/>
                        <wp:cNvGraphicFramePr/>
                        <a:graphic xmlns:a="http://schemas.openxmlformats.org/drawingml/2006/main">
                          <a:graphicData uri="http://schemas.openxmlformats.org/drawingml/2006/picture">
                            <pic:pic xmlns:pic="http://schemas.openxmlformats.org/drawingml/2006/picture">
                              <pic:nvPicPr>
                                <pic:cNvPr id="4" name="图片 4"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8"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210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2105</w:t>
                  </w:r>
                  <w:r>
                    <w:rPr>
                      <w:rFonts w:hint="eastAsia" w:ascii="Times New Roman" w:hAnsi="Times New Roman" w:eastAsia="宋体" w:cs="Times New Roman"/>
                      <w:b/>
                      <w:w w:val="130"/>
                      <w:kern w:val="0"/>
                      <w:sz w:val="96"/>
                      <w:vertAlign w:val="baseline"/>
                      <w:lang w:val="en-US" w:eastAsia="zh-CN"/>
                    </w:rPr>
                    <w:fldChar w:fldCharType="end"/>
                  </w:r>
                  <w:bookmarkEnd w:id="8"/>
                </w:p>
              </w:tc>
            </w:tr>
          </w:tbl>
          <w:p>
            <w:pPr>
              <w:pStyle w:val="51"/>
              <w:framePr w:w="9639"/>
              <w:bidi w:val="0"/>
              <w:jc w:val="both"/>
              <w:rPr>
                <w:rFonts w:hint="eastAsia"/>
                <w:vertAlign w:val="baseline"/>
                <w:lang w:val="en-US" w:eastAsia="zh-CN"/>
              </w:rPr>
            </w:pPr>
          </w:p>
        </w:tc>
      </w:tr>
    </w:tbl>
    <w:p>
      <w:pPr>
        <w:pStyle w:val="51"/>
        <w:framePr w:w="9639"/>
        <w:bidi w:val="0"/>
        <w:rPr>
          <w:rFonts w:hint="eastAsia"/>
          <w:lang w:val="en-US" w:eastAsia="zh-CN"/>
        </w:rPr>
        <w:sectPr>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pPr>
        <w:pStyle w:val="53"/>
        <w:bidi w:val="0"/>
        <w:rPr>
          <w:rFonts w:hint="eastAsia"/>
          <w:lang w:val="en-US" w:eastAsia="zh-CN"/>
        </w:rPr>
      </w:pPr>
      <w:r>
        <w:rPr>
          <w:rFonts w:hint="default"/>
          <w:spacing w:val="317"/>
          <w:lang w:val="en-US" w:eastAsia="zh-CN"/>
        </w:rPr>
        <w:t>前</w:t>
      </w:r>
      <w:bookmarkStart w:id="9" w:name="BKQY"/>
      <w:r>
        <w:rPr>
          <w:rFonts w:hint="default"/>
          <w:lang w:val="en-US" w:eastAsia="zh-CN"/>
        </w:rPr>
        <w:t>言</w:t>
      </w:r>
      <w:bookmarkEnd w:id="1"/>
    </w:p>
    <w:p>
      <w:pPr>
        <w:pStyle w:val="23"/>
        <w:bidi w:val="0"/>
        <w:rPr>
          <w:rFonts w:hint="default"/>
          <w:lang w:val="en-US" w:eastAsia="zh-CN"/>
        </w:rPr>
      </w:pPr>
      <w:r>
        <w:rPr>
          <w:rFonts w:hint="default"/>
          <w:lang w:val="en-US" w:eastAsia="zh-CN"/>
        </w:rPr>
        <w:t>本文件按照GB/T 1.1—2020《标准化工作导则  第1部分：标准化文件的结构和起草规则》的规定起草。</w:t>
      </w:r>
    </w:p>
    <w:p>
      <w:pPr>
        <w:pStyle w:val="23"/>
        <w:bidi w:val="0"/>
        <w:rPr>
          <w:rFonts w:hint="default"/>
          <w:lang w:val="en-US" w:eastAsia="zh-CN"/>
        </w:rPr>
      </w:pPr>
      <w:r>
        <w:rPr>
          <w:rFonts w:hint="eastAsia"/>
          <w:lang w:val="en-US" w:eastAsia="zh-CN"/>
        </w:rPr>
        <w:t>本文件根据GB/T 17924-2008《地理标志产品标准通用要求》及原国家质量监督检验检疫总局颁布的《地理标志产品保护规定》制定。</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本文件由本溪市林业和草原局提出并归口。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3"/>
        <w:bidi w:val="0"/>
        <w:rPr>
          <w:rFonts w:hint="eastAsia"/>
          <w:lang w:val="en-US" w:eastAsia="zh-CN"/>
        </w:rPr>
      </w:pPr>
      <w:r>
        <w:rPr>
          <w:rFonts w:hint="eastAsia"/>
          <w:lang w:val="en-US" w:eastAsia="zh-CN"/>
        </w:rPr>
        <w:t>本文件主要起草人：樊琳琳、刘玉龙、金洪艳、孙巍、田洋、丁国伟、裴立楠、吕威、段微、杨波、孙诗涵、杜宜男、张明月、李飞。</w:t>
      </w:r>
    </w:p>
    <w:p>
      <w:pPr>
        <w:pStyle w:val="23"/>
        <w:bidi w:val="0"/>
        <w:rPr>
          <w:rFonts w:hint="default"/>
          <w:lang w:val="en-US" w:eastAsia="zh-CN"/>
        </w:rPr>
      </w:pPr>
      <w:r>
        <w:rPr>
          <w:rFonts w:hint="eastAsia"/>
          <w:lang w:val="en-US" w:eastAsia="zh-CN"/>
        </w:rPr>
        <w:t>本文件发布实施后，任何单位和个人如有问题和意见建议，均可以通过来电和来函等方式进行反馈，我们将及时答复并认真处理，根据实际情况依法进行评估及复审。</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default"/>
          <w:lang w:val="en-US" w:eastAsia="zh-CN"/>
        </w:rPr>
      </w:pPr>
    </w:p>
    <w:p>
      <w:pPr>
        <w:pStyle w:val="23"/>
        <w:bidi w:val="0"/>
        <w:rPr>
          <w:rFonts w:hint="default"/>
          <w:lang w:val="en-US" w:eastAsia="zh-CN"/>
        </w:rPr>
      </w:pPr>
    </w:p>
    <w:bookmarkEnd w:id="9"/>
    <w:p>
      <w:pPr>
        <w:rPr>
          <w:rFonts w:hint="default"/>
          <w:lang w:val="en-US" w:eastAsia="zh-CN"/>
        </w:rPr>
      </w:pPr>
    </w:p>
    <w:p>
      <w:pPr>
        <w:rPr>
          <w:rFonts w:hint="default"/>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Fonts w:hint="eastAsia" w:ascii="黑体" w:hAnsi="黑体" w:eastAsia="黑体" w:cs="Times New Roman"/>
          <w:kern w:val="2"/>
          <w:sz w:val="32"/>
          <w:szCs w:val="32"/>
          <w:lang w:val="en-US" w:eastAsia="zh-CN" w:bidi="ar-SA"/>
        </w:rPr>
        <w:tag w:val="StandardName"/>
        <w:id w:val="147479029"/>
        <w:lock w:val="sdtLocked"/>
        <w:placeholder>
          <w:docPart w:val="{8ce9ba6f-b403-4ab5-915a-7e847c333999}"/>
        </w:placeholder>
      </w:sdtPr>
      <w:sdtEndPr>
        <w:rPr>
          <w:rFonts w:hint="eastAsia" w:ascii="黑体" w:hAnsi="黑体" w:eastAsia="黑体" w:cs="Times New Roman"/>
          <w:kern w:val="2"/>
          <w:sz w:val="32"/>
          <w:szCs w:val="32"/>
          <w:lang w:val="en-US" w:eastAsia="zh-CN" w:bidi="ar-SA"/>
        </w:rPr>
      </w:sdtEndPr>
      <w:sdtContent>
        <w:p>
          <w:pPr>
            <w:pStyle w:val="54"/>
            <w:bidi w:val="0"/>
            <w:rPr>
              <w:rStyle w:val="118"/>
              <w:rFonts w:hint="eastAsia"/>
              <w:lang w:val="en-US" w:eastAsia="zh-CN"/>
            </w:rPr>
          </w:pPr>
          <w:bookmarkStart w:id="10" w:name="StandardName"/>
          <w:r>
            <w:rPr>
              <w:rFonts w:hint="eastAsia" w:cs="Times New Roman"/>
              <w:kern w:val="2"/>
              <w:sz w:val="32"/>
              <w:szCs w:val="32"/>
              <w:lang w:val="en-US" w:eastAsia="zh-CN" w:bidi="ar-SA"/>
            </w:rPr>
            <w:t>地理标志产品 桓仁蛤蟆油</w:t>
          </w:r>
          <w:bookmarkEnd w:id="10"/>
        </w:p>
      </w:sdtContent>
    </w:sdt>
    <w:p>
      <w:pPr>
        <w:pStyle w:val="70"/>
        <w:bidi w:val="0"/>
        <w:rPr>
          <w:rStyle w:val="118"/>
          <w:rFonts w:hint="eastAsia"/>
          <w:lang w:val="en-US" w:eastAsia="zh-CN"/>
        </w:rPr>
      </w:pPr>
      <w:bookmarkStart w:id="11" w:name="_Toc23253"/>
      <w:r>
        <w:rPr>
          <w:rFonts w:hint="eastAsia"/>
          <w:lang w:val="en-US" w:eastAsia="zh-CN"/>
        </w:rPr>
        <w:t>范围</w:t>
      </w:r>
      <w:bookmarkEnd w:id="11"/>
    </w:p>
    <w:p>
      <w:pPr>
        <w:pStyle w:val="23"/>
        <w:ind w:firstLine="420"/>
        <w:rPr>
          <w:rFonts w:hint="eastAsia"/>
          <w:highlight w:val="none"/>
        </w:rPr>
      </w:pPr>
      <w:r>
        <w:rPr>
          <w:rFonts w:hint="eastAsia"/>
        </w:rPr>
        <w:t>本文件规定了</w:t>
      </w:r>
      <w:r>
        <w:rPr>
          <w:rFonts w:hint="eastAsia"/>
          <w:lang w:val="en-US" w:eastAsia="zh-CN"/>
        </w:rPr>
        <w:t>地理标志产品 桓仁蛤蟆油</w:t>
      </w:r>
      <w:r>
        <w:rPr>
          <w:rFonts w:hint="eastAsia"/>
        </w:rPr>
        <w:t>的</w:t>
      </w:r>
      <w:r>
        <w:rPr>
          <w:rFonts w:hint="eastAsia"/>
          <w:highlight w:val="none"/>
        </w:rPr>
        <w:t>术语和定义、</w:t>
      </w:r>
      <w:r>
        <w:rPr>
          <w:rFonts w:hint="eastAsia"/>
          <w:highlight w:val="none"/>
          <w:lang w:val="en-US" w:eastAsia="zh-CN"/>
        </w:rPr>
        <w:t>地理标志产品保护范围、</w:t>
      </w:r>
      <w:r>
        <w:rPr>
          <w:rFonts w:hint="eastAsia"/>
          <w:highlight w:val="none"/>
        </w:rPr>
        <w:t>技术要求、检验方法、检验规则</w:t>
      </w:r>
      <w:r>
        <w:rPr>
          <w:rFonts w:hint="eastAsia"/>
          <w:highlight w:val="none"/>
          <w:lang w:val="en-US" w:eastAsia="zh-CN"/>
        </w:rPr>
        <w:t>及</w:t>
      </w:r>
      <w:r>
        <w:rPr>
          <w:rFonts w:hint="eastAsia"/>
          <w:highlight w:val="none"/>
        </w:rPr>
        <w:t>标志、包装、运输和贮存。</w:t>
      </w:r>
    </w:p>
    <w:p>
      <w:pPr>
        <w:pStyle w:val="23"/>
        <w:ind w:firstLine="420"/>
        <w:rPr>
          <w:rFonts w:hint="eastAsia"/>
          <w:lang w:val="en-US" w:eastAsia="zh-CN"/>
        </w:rPr>
      </w:pPr>
      <w:r>
        <w:rPr>
          <w:rFonts w:hint="eastAsia" w:hAnsi="Times New Roman" w:cs="Times New Roman"/>
          <w:lang w:val="en-US" w:eastAsia="zh-CN"/>
        </w:rPr>
        <w:t>本文件适用于原国家质量监督检验检疫总局200</w:t>
      </w:r>
      <w:r>
        <w:rPr>
          <w:rFonts w:hint="eastAsia" w:cs="Times New Roman"/>
          <w:lang w:val="en-US" w:eastAsia="zh-CN"/>
        </w:rPr>
        <w:t>8</w:t>
      </w:r>
      <w:r>
        <w:rPr>
          <w:rFonts w:hint="eastAsia" w:hAnsi="Times New Roman" w:cs="Times New Roman"/>
          <w:lang w:val="en-US" w:eastAsia="zh-CN"/>
        </w:rPr>
        <w:t>年第</w:t>
      </w:r>
      <w:r>
        <w:rPr>
          <w:rFonts w:hint="eastAsia" w:cs="Times New Roman"/>
          <w:lang w:val="en-US" w:eastAsia="zh-CN"/>
        </w:rPr>
        <w:t>65</w:t>
      </w:r>
      <w:r>
        <w:rPr>
          <w:rFonts w:hint="eastAsia" w:hAnsi="Times New Roman" w:cs="Times New Roman"/>
          <w:lang w:val="en-US" w:eastAsia="zh-CN"/>
        </w:rPr>
        <w:t>号公告批准保护的桓仁</w:t>
      </w:r>
      <w:r>
        <w:rPr>
          <w:rFonts w:hint="eastAsia"/>
          <w:lang w:val="en-US" w:eastAsia="zh-CN"/>
        </w:rPr>
        <w:t>蛤蟆油</w:t>
      </w:r>
      <w:r>
        <w:rPr>
          <w:rFonts w:hint="eastAsia"/>
        </w:rPr>
        <w:t>。</w:t>
      </w:r>
    </w:p>
    <w:p>
      <w:pPr>
        <w:pStyle w:val="70"/>
        <w:bidi w:val="0"/>
        <w:rPr>
          <w:rFonts w:hint="eastAsia"/>
          <w:lang w:val="en-US" w:eastAsia="zh-CN"/>
        </w:rPr>
      </w:pPr>
      <w:bookmarkStart w:id="12" w:name="_Toc28317"/>
      <w:r>
        <w:rPr>
          <w:rFonts w:hint="eastAsia"/>
          <w:lang w:val="en-US" w:eastAsia="zh-CN"/>
        </w:rPr>
        <w:t>规范性引用文件</w:t>
      </w:r>
      <w:bookmarkEnd w:id="12"/>
    </w:p>
    <w:sdt>
      <w:sdtPr>
        <w:rPr>
          <w:rFonts w:hint="eastAsia" w:ascii="宋体" w:hAnsi="Times New Roman" w:eastAsia="宋体" w:cs="宋体"/>
          <w:sz w:val="21"/>
          <w:lang w:val="en-US" w:eastAsia="zh-CN"/>
        </w:rPr>
        <w:tag w:val="StandNameFile"/>
        <w:id w:val="147460202"/>
        <w:placeholder>
          <w:docPart w:val="{fce48f62-cf65-47d1-b138-6b04d3c6e60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GB/T 191 包装储运图示标志</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GB 2760 食品安全国家标准 食品添加剂使用标准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GB 2762 食品安全国家标准 食品中污染物限量（含第1号修改单）</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GB 2763 食品安全国家标准 食品中农药最大残留限量</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4789.15 食品安全国家标准 食品微生物学检验 霉菌和酵母计数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4789.2 食品安全国家标准 食品微生物学检验 菌落总数测定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4789.3 食品安全国家标准 食品微生物学检验 大肠菌群计数</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5009.3 食品安全国家标准  食品中水分的测定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5009.5 食品安全国家标准  食品中蛋白质的测定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5009.6 食品安全国家标准食品中脂肪的测定</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GB/T 6543 运输包装用单瓦楞纸箱和双瓦楞纸箱</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7718 食品安全国家标准  预包装食品标签通则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9683 复合食品包装袋卫生标准</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28050  食品安全国家标准 预包装食品营养标签通则</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GB 29921 食品安全国家标准 预包装食品中致病菌限量</w:t>
      </w:r>
    </w:p>
    <w:p>
      <w:pPr>
        <w:pStyle w:val="120"/>
        <w:keepNext w:val="0"/>
        <w:keepLines w:val="0"/>
        <w:pageBreakBefore w:val="0"/>
        <w:widowControl/>
        <w:kinsoku/>
        <w:wordWrap/>
        <w:overflowPunct/>
        <w:topLinePunct w:val="0"/>
        <w:bidi w:val="0"/>
        <w:adjustRightInd/>
        <w:snapToGrid/>
        <w:ind w:firstLine="420" w:firstLineChars="200"/>
        <w:textAlignment w:val="auto"/>
        <w:rPr>
          <w:rFonts w:hint="default" w:ascii="Times New Roman" w:hAnsi="Times New Roman" w:cs="Times New Roman"/>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JJF 1070 定</w:t>
      </w:r>
      <w:r>
        <w:rPr>
          <w:rFonts w:hint="eastAsia" w:ascii="Times New Roman" w:cs="Times New Roman"/>
          <w:color w:val="auto"/>
          <w:kern w:val="2"/>
          <w:sz w:val="21"/>
          <w:szCs w:val="21"/>
          <w:lang w:val="en-US" w:eastAsia="zh-CN"/>
        </w:rPr>
        <w:t>量包装商品净含量计量检验规则</w:t>
      </w:r>
    </w:p>
    <w:p>
      <w:pPr>
        <w:pStyle w:val="23"/>
        <w:bidi w:val="0"/>
        <w:rPr>
          <w:rFonts w:hint="default" w:ascii="宋体" w:hAnsi="Times New Roman" w:eastAsia="宋体" w:cs="宋体"/>
          <w:sz w:val="21"/>
          <w:lang w:val="en-US" w:eastAsia="zh-CN"/>
        </w:rPr>
      </w:pPr>
      <w:r>
        <w:rPr>
          <w:rFonts w:hint="eastAsia" w:ascii="宋体" w:hAnsi="Times New Roman" w:eastAsia="宋体" w:cs="宋体"/>
          <w:sz w:val="21"/>
          <w:lang w:val="en-US" w:eastAsia="zh-CN"/>
        </w:rPr>
        <w:t>国家</w:t>
      </w:r>
      <w:r>
        <w:rPr>
          <w:rFonts w:hint="eastAsia" w:cs="宋体"/>
          <w:sz w:val="21"/>
          <w:lang w:val="en-US" w:eastAsia="zh-CN"/>
        </w:rPr>
        <w:t>市场</w:t>
      </w:r>
      <w:r>
        <w:rPr>
          <w:rFonts w:hint="eastAsia" w:ascii="宋体" w:hAnsi="Times New Roman" w:eastAsia="宋体" w:cs="宋体"/>
          <w:sz w:val="21"/>
          <w:lang w:val="en-US" w:eastAsia="zh-CN"/>
        </w:rPr>
        <w:t>监督</w:t>
      </w:r>
      <w:r>
        <w:rPr>
          <w:rFonts w:hint="eastAsia" w:cs="宋体"/>
          <w:sz w:val="21"/>
          <w:lang w:val="en-US" w:eastAsia="zh-CN"/>
        </w:rPr>
        <w:t>管理</w:t>
      </w:r>
      <w:r>
        <w:rPr>
          <w:rFonts w:hint="eastAsia" w:ascii="宋体" w:hAnsi="Times New Roman" w:eastAsia="宋体" w:cs="宋体"/>
          <w:sz w:val="21"/>
          <w:lang w:val="en-US" w:eastAsia="zh-CN"/>
        </w:rPr>
        <w:t>总局</w:t>
      </w:r>
      <w:r>
        <w:rPr>
          <w:rFonts w:hint="eastAsia" w:cs="宋体"/>
          <w:sz w:val="21"/>
          <w:lang w:val="en-US" w:eastAsia="zh-CN"/>
        </w:rPr>
        <w:t>令</w:t>
      </w:r>
      <w:r>
        <w:rPr>
          <w:rFonts w:hint="eastAsia" w:ascii="宋体" w:hAnsi="Times New Roman" w:eastAsia="宋体" w:cs="宋体"/>
          <w:sz w:val="21"/>
          <w:lang w:val="en-US" w:eastAsia="zh-CN"/>
        </w:rPr>
        <w:t>第7</w:t>
      </w:r>
      <w:r>
        <w:rPr>
          <w:rFonts w:hint="eastAsia" w:cs="宋体"/>
          <w:sz w:val="21"/>
          <w:lang w:val="en-US" w:eastAsia="zh-CN"/>
        </w:rPr>
        <w:t>0</w:t>
      </w:r>
      <w:r>
        <w:rPr>
          <w:rFonts w:hint="eastAsia" w:ascii="宋体" w:hAnsi="Times New Roman" w:eastAsia="宋体" w:cs="宋体"/>
          <w:sz w:val="21"/>
          <w:lang w:val="en-US" w:eastAsia="zh-CN"/>
        </w:rPr>
        <w:t>号《定量包装商品计量监督管理办法》</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bookmarkStart w:id="13" w:name="_Toc3056"/>
      <w:r>
        <w:rPr>
          <w:rFonts w:hint="eastAsia"/>
          <w:lang w:val="en-US" w:eastAsia="zh-CN"/>
        </w:rPr>
        <w:t>术语和定义</w:t>
      </w:r>
      <w:bookmarkEnd w:id="13"/>
    </w:p>
    <w:sdt>
      <w:sdtPr>
        <w:rPr>
          <w:rFonts w:hint="eastAsia" w:ascii="宋体" w:hAnsi="Times New Roman" w:eastAsia="宋体" w:cs="宋体"/>
          <w:sz w:val="21"/>
          <w:lang w:val="en-US" w:eastAsia="zh-CN"/>
        </w:rPr>
        <w:tag w:val="TermContent"/>
        <w:id w:val="147460202"/>
        <w:placeholder>
          <w:docPart w:val="{9f8215c3-b144-4aac-b01f-96afd33d4f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pPr>
        <w:pStyle w:val="71"/>
        <w:bidi w:val="0"/>
        <w:rPr>
          <w:rFonts w:hint="default"/>
          <w:lang w:val="en-US" w:eastAsia="zh-CN"/>
        </w:rPr>
      </w:pPr>
    </w:p>
    <w:p>
      <w:pPr>
        <w:pStyle w:val="71"/>
        <w:numPr>
          <w:ilvl w:val="1"/>
          <w:numId w:val="0"/>
        </w:numPr>
        <w:bidi w:val="0"/>
        <w:ind w:firstLine="420" w:firstLineChars="200"/>
        <w:rPr>
          <w:rFonts w:hint="default"/>
          <w:lang w:val="en-US" w:eastAsia="zh-CN"/>
        </w:rPr>
      </w:pPr>
      <w:r>
        <w:rPr>
          <w:rFonts w:hint="eastAsia"/>
          <w:lang w:val="en-US" w:eastAsia="zh-CN"/>
        </w:rPr>
        <w:t>桓仁蛤蟆油 huanren ranae oviductus</w:t>
      </w:r>
    </w:p>
    <w:p>
      <w:pPr>
        <w:pStyle w:val="23"/>
        <w:rPr>
          <w:rFonts w:hint="default"/>
          <w:lang w:val="en-US" w:eastAsia="zh-CN"/>
        </w:rPr>
      </w:pPr>
      <w:r>
        <w:rPr>
          <w:rFonts w:hint="eastAsia"/>
          <w:lang w:val="en-US" w:eastAsia="zh-CN"/>
        </w:rPr>
        <w:t>是指桓仁满族自治县境内三年生以上雌性中国林蛙输卵管的干制品。</w:t>
      </w:r>
    </w:p>
    <w:p>
      <w:pPr>
        <w:pStyle w:val="70"/>
        <w:bidi w:val="0"/>
        <w:rPr>
          <w:rFonts w:hint="eastAsia"/>
          <w:lang w:val="en-US" w:eastAsia="zh-CN"/>
        </w:rPr>
      </w:pPr>
      <w:bookmarkStart w:id="14" w:name="_Toc31717"/>
      <w:r>
        <w:rPr>
          <w:rFonts w:hint="eastAsia"/>
          <w:lang w:val="en-US" w:eastAsia="zh-CN"/>
        </w:rPr>
        <w:t>地理标志产品保护范围</w:t>
      </w:r>
      <w:bookmarkEnd w:id="14"/>
    </w:p>
    <w:p>
      <w:pPr>
        <w:pStyle w:val="23"/>
        <w:rPr>
          <w:rFonts w:hint="eastAsia"/>
          <w:lang w:val="en-US" w:eastAsia="zh-CN"/>
        </w:rPr>
      </w:pPr>
      <w:bookmarkStart w:id="15" w:name="_Toc26062"/>
      <w:r>
        <w:rPr>
          <w:rFonts w:hint="eastAsia"/>
          <w:lang w:val="en-US" w:eastAsia="zh-CN"/>
        </w:rPr>
        <w:t>辽宁省桓仁满族自治县现辖行政区域范围。见附录A</w:t>
      </w:r>
      <w:bookmarkEnd w:id="15"/>
    </w:p>
    <w:p>
      <w:pPr>
        <w:pStyle w:val="70"/>
        <w:bidi w:val="0"/>
        <w:rPr>
          <w:rFonts w:hint="eastAsia"/>
          <w:lang w:val="en-US" w:eastAsia="zh-CN"/>
        </w:rPr>
      </w:pPr>
      <w:bookmarkStart w:id="16" w:name="_Toc7791"/>
      <w:r>
        <w:rPr>
          <w:rFonts w:hint="eastAsia"/>
          <w:lang w:val="en-US" w:eastAsia="zh-CN"/>
        </w:rPr>
        <w:t>技术要求</w:t>
      </w:r>
      <w:bookmarkEnd w:id="16"/>
    </w:p>
    <w:p>
      <w:pPr>
        <w:pStyle w:val="71"/>
        <w:bidi w:val="0"/>
        <w:rPr>
          <w:rFonts w:hint="eastAsia"/>
          <w:lang w:val="en-US" w:eastAsia="zh-CN"/>
        </w:rPr>
      </w:pPr>
      <w:bookmarkStart w:id="17" w:name="_Toc16642"/>
      <w:r>
        <w:rPr>
          <w:rFonts w:hint="eastAsia"/>
          <w:lang w:val="en-US" w:eastAsia="zh-CN"/>
        </w:rPr>
        <w:t>感官要求</w:t>
      </w:r>
      <w:bookmarkEnd w:id="17"/>
    </w:p>
    <w:p>
      <w:pPr>
        <w:pStyle w:val="23"/>
        <w:rPr>
          <w:rFonts w:hint="eastAsia"/>
          <w:lang w:val="en-US" w:eastAsia="zh-CN"/>
        </w:rPr>
      </w:pPr>
      <w:r>
        <w:rPr>
          <w:rFonts w:hint="eastAsia"/>
          <w:lang w:val="en-US" w:eastAsia="zh-CN"/>
        </w:rPr>
        <w:t>应符合表1的规定。</w:t>
      </w:r>
    </w:p>
    <w:p>
      <w:pPr>
        <w:pStyle w:val="111"/>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09"/>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09"/>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6" w:type="pct"/>
            <w:vMerge w:val="continue"/>
          </w:tcPr>
          <w:p>
            <w:pPr>
              <w:pStyle w:val="109"/>
              <w:widowControl w:val="0"/>
              <w:bidi w:val="0"/>
              <w:jc w:val="center"/>
              <w:rPr>
                <w:rFonts w:hint="eastAsia"/>
                <w:lang w:val="en-US" w:eastAsia="zh-CN"/>
              </w:rPr>
            </w:pPr>
          </w:p>
        </w:tc>
        <w:tc>
          <w:tcPr>
            <w:tcW w:w="1666" w:type="pct"/>
            <w:tcBorders>
              <w:top w:val="single" w:color="auto" w:sz="8" w:space="0"/>
            </w:tcBorders>
          </w:tcPr>
          <w:p>
            <w:pPr>
              <w:pStyle w:val="109"/>
              <w:widowControl w:val="0"/>
              <w:bidi w:val="0"/>
              <w:jc w:val="center"/>
              <w:rPr>
                <w:rFonts w:hint="eastAsia"/>
                <w:lang w:val="en-US" w:eastAsia="zh-CN"/>
              </w:rPr>
            </w:pPr>
            <w:r>
              <w:rPr>
                <w:rFonts w:hint="eastAsia"/>
                <w:lang w:val="en-US" w:eastAsia="zh-CN"/>
              </w:rPr>
              <w:t>一等</w:t>
            </w:r>
          </w:p>
        </w:tc>
        <w:tc>
          <w:tcPr>
            <w:tcW w:w="1667" w:type="pct"/>
            <w:tcBorders>
              <w:top w:val="single" w:color="auto" w:sz="8" w:space="0"/>
            </w:tcBorders>
          </w:tcPr>
          <w:p>
            <w:pPr>
              <w:pStyle w:val="109"/>
              <w:widowControl w:val="0"/>
              <w:bidi w:val="0"/>
              <w:jc w:val="center"/>
              <w:rPr>
                <w:rFonts w:hint="eastAsia"/>
                <w:lang w:val="en-US" w:eastAsia="zh-CN"/>
              </w:rPr>
            </w:pPr>
            <w:r>
              <w:rPr>
                <w:rFonts w:hint="eastAsia" w:ascii="宋体" w:hAnsi="宋体"/>
                <w:sz w:val="18"/>
                <w:szCs w:val="18"/>
                <w:lang w:val="en-US" w:eastAsia="zh-CN"/>
              </w:rPr>
              <w:t>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形态</w:t>
            </w:r>
          </w:p>
        </w:tc>
        <w:tc>
          <w:tcPr>
            <w:tcW w:w="3333" w:type="pct"/>
            <w:gridSpan w:val="2"/>
          </w:tcPr>
          <w:p>
            <w:pPr>
              <w:pStyle w:val="109"/>
              <w:widowControl w:val="0"/>
              <w:bidi w:val="0"/>
              <w:jc w:val="center"/>
              <w:rPr>
                <w:rFonts w:hint="eastAsia"/>
                <w:lang w:val="en-US" w:eastAsia="zh-CN"/>
              </w:rPr>
            </w:pPr>
            <w:r>
              <w:rPr>
                <w:rFonts w:hint="eastAsia"/>
                <w:sz w:val="18"/>
                <w:szCs w:val="18"/>
                <w:lang w:val="en-US" w:eastAsia="zh-CN"/>
              </w:rPr>
              <w:t>不规则块状，弯曲而重叠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6" w:type="pct"/>
            <w:vAlign w:val="center"/>
          </w:tcPr>
          <w:p>
            <w:pPr>
              <w:autoSpaceDE w:val="0"/>
              <w:autoSpaceDN w:val="0"/>
              <w:ind w:firstLine="720" w:firstLineChars="400"/>
              <w:jc w:val="both"/>
              <w:rPr>
                <w:rFonts w:hint="eastAsia"/>
                <w:lang w:val="en-US" w:eastAsia="zh-CN"/>
              </w:rPr>
            </w:pPr>
            <w:r>
              <w:rPr>
                <w:rFonts w:hint="eastAsia" w:ascii="宋体" w:hAnsi="宋体"/>
                <w:sz w:val="18"/>
                <w:szCs w:val="18"/>
                <w:lang w:val="en-US" w:eastAsia="zh-CN"/>
              </w:rPr>
              <w:t xml:space="preserve">       大小   </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长2</w:t>
            </w:r>
            <w:r>
              <w:rPr>
                <w:rFonts w:hint="eastAsia" w:hAnsi="宋体"/>
                <w:color w:val="000000" w:themeColor="text1"/>
                <w:sz w:val="18"/>
                <w:szCs w:val="18"/>
                <w:lang w:val="en-US" w:eastAsia="zh-CN"/>
                <w14:textFill>
                  <w14:solidFill>
                    <w14:schemeClr w14:val="tx1"/>
                  </w14:solidFill>
                </w14:textFill>
              </w:rPr>
              <w:t xml:space="preserve"> cm</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w:t>
            </w:r>
            <w:r>
              <w:rPr>
                <w:rFonts w:hint="eastAsia"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cm，厚1.5</w:t>
            </w:r>
            <w:r>
              <w:rPr>
                <w:rFonts w:hint="eastAsia" w:hAnsi="宋体"/>
                <w:color w:val="000000" w:themeColor="text1"/>
                <w:sz w:val="18"/>
                <w:szCs w:val="18"/>
                <w:lang w:val="en-US" w:eastAsia="zh-CN"/>
                <w14:textFill>
                  <w14:solidFill>
                    <w14:schemeClr w14:val="tx1"/>
                  </w14:solidFill>
                </w14:textFill>
              </w:rPr>
              <w:t xml:space="preserve"> mm</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w:t>
            </w:r>
            <w:r>
              <w:rPr>
                <w:rFonts w:hint="eastAsia"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mm</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长1.5</w:t>
            </w:r>
            <w:r>
              <w:rPr>
                <w:rFonts w:hint="eastAsia" w:hAnsi="宋体"/>
                <w:color w:val="000000" w:themeColor="text1"/>
                <w:sz w:val="18"/>
                <w:szCs w:val="18"/>
                <w:lang w:val="en-US" w:eastAsia="zh-CN"/>
                <w14:textFill>
                  <w14:solidFill>
                    <w14:schemeClr w14:val="tx1"/>
                  </w14:solidFill>
                </w14:textFill>
              </w:rPr>
              <w:t xml:space="preserve"> cm</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w:t>
            </w:r>
            <w:r>
              <w:rPr>
                <w:rFonts w:hint="eastAsia"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cm，厚1.5</w:t>
            </w:r>
            <w:r>
              <w:rPr>
                <w:rFonts w:hint="eastAsia" w:hAnsi="宋体"/>
                <w:color w:val="000000" w:themeColor="text1"/>
                <w:sz w:val="18"/>
                <w:szCs w:val="18"/>
                <w:lang w:val="en-US" w:eastAsia="zh-CN"/>
                <w14:textFill>
                  <w14:solidFill>
                    <w14:schemeClr w14:val="tx1"/>
                  </w14:solidFill>
                </w14:textFill>
              </w:rPr>
              <w:t xml:space="preserve"> mm</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5</w:t>
            </w:r>
            <w:r>
              <w:rPr>
                <w:rFonts w:hint="eastAsia"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色泽</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白色至微黄色，呈晶莹状</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微黄色，呈晶莹状，偶有带灰白色薄膜状干皮或血色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含少量结缔组织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hAnsi="宋体"/>
                <w:sz w:val="18"/>
                <w:szCs w:val="18"/>
                <w:lang w:val="en-US" w:eastAsia="zh-CN"/>
              </w:rPr>
              <w:t>滋</w:t>
            </w:r>
            <w:r>
              <w:rPr>
                <w:rFonts w:hint="eastAsia" w:ascii="宋体" w:hAnsi="宋体"/>
                <w:sz w:val="18"/>
                <w:szCs w:val="18"/>
                <w:lang w:val="en-US" w:eastAsia="zh-CN"/>
              </w:rPr>
              <w:t>气味</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具有腥气，味微甘，</w:t>
            </w:r>
            <w:r>
              <w:rPr>
                <w:rFonts w:hint="eastAsia" w:hAnsi="宋体"/>
                <w:color w:val="000000" w:themeColor="text1"/>
                <w:sz w:val="18"/>
                <w:szCs w:val="18"/>
                <w:lang w:val="en-US" w:eastAsia="zh-CN"/>
                <w14:textFill>
                  <w14:solidFill>
                    <w14:schemeClr w14:val="tx1"/>
                  </w14:solidFill>
                </w14:textFill>
              </w:rPr>
              <w:t>嚼之</w:t>
            </w:r>
            <w:r>
              <w:rPr>
                <w:rFonts w:hint="eastAsia" w:ascii="宋体" w:hAnsi="宋体"/>
                <w:color w:val="000000" w:themeColor="text1"/>
                <w:sz w:val="18"/>
                <w:szCs w:val="18"/>
                <w:lang w:val="en-US" w:eastAsia="zh-CN"/>
                <w14:textFill>
                  <w14:solidFill>
                    <w14:schemeClr w14:val="tx1"/>
                  </w14:solidFill>
                </w14:textFill>
              </w:rPr>
              <w:t>有</w:t>
            </w:r>
            <w:r>
              <w:rPr>
                <w:rFonts w:hint="eastAsia" w:hAnsi="宋体"/>
                <w:color w:val="000000" w:themeColor="text1"/>
                <w:sz w:val="18"/>
                <w:szCs w:val="18"/>
                <w:lang w:val="en-US" w:eastAsia="zh-CN"/>
                <w14:textFill>
                  <w14:solidFill>
                    <w14:schemeClr w14:val="tx1"/>
                  </w14:solidFill>
                </w14:textFill>
              </w:rPr>
              <w:t>黏滑</w:t>
            </w:r>
            <w:r>
              <w:rPr>
                <w:rFonts w:hint="eastAsia" w:ascii="宋体" w:hAnsi="宋体"/>
                <w:color w:val="000000" w:themeColor="text1"/>
                <w:sz w:val="18"/>
                <w:szCs w:val="18"/>
                <w:lang w:val="en-US" w:eastAsia="zh-CN"/>
                <w14:textFill>
                  <w14:solidFill>
                    <w14:schemeClr w14:val="tx1"/>
                  </w14:solidFill>
                </w14:textFill>
              </w:rPr>
              <w:t>感，无其他异味</w:t>
            </w:r>
          </w:p>
        </w:tc>
      </w:tr>
    </w:tbl>
    <w:p>
      <w:pPr>
        <w:pStyle w:val="71"/>
        <w:bidi w:val="0"/>
        <w:rPr>
          <w:rFonts w:hint="eastAsia"/>
          <w:lang w:val="en-US" w:eastAsia="zh-CN"/>
        </w:rPr>
      </w:pPr>
      <w:bookmarkStart w:id="18" w:name="_Toc22112"/>
      <w:r>
        <w:rPr>
          <w:rFonts w:hint="eastAsia"/>
          <w:lang w:val="en-US" w:eastAsia="zh-CN"/>
        </w:rPr>
        <w:t>理化指标</w:t>
      </w:r>
      <w:bookmarkEnd w:id="18"/>
    </w:p>
    <w:p>
      <w:pPr>
        <w:pStyle w:val="23"/>
        <w:rPr>
          <w:rFonts w:hint="eastAsia"/>
          <w:lang w:val="en-US" w:eastAsia="zh-CN"/>
        </w:rPr>
      </w:pPr>
      <w:r>
        <w:rPr>
          <w:rFonts w:hint="eastAsia"/>
          <w:lang w:val="en-US" w:eastAsia="zh-CN"/>
        </w:rPr>
        <w:t>应符合表2的规定。</w:t>
      </w:r>
    </w:p>
    <w:p>
      <w:pPr>
        <w:pStyle w:val="111"/>
        <w:bidi w:val="0"/>
        <w:rPr>
          <w:rFonts w:hint="eastAsia"/>
          <w:lang w:val="en-US" w:eastAsia="zh-CN"/>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4785" w:type="dxa"/>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水分/%                                           </w:t>
            </w:r>
            <w:r>
              <w:rPr>
                <w:rFonts w:hint="default" w:ascii="Arial" w:hAnsi="Arial" w:cs="Arial"/>
                <w:color w:val="000000"/>
                <w:sz w:val="18"/>
                <w:szCs w:val="18"/>
                <w:lang w:val="en-US" w:eastAsia="zh-CN"/>
              </w:rPr>
              <w:t>≤</w:t>
            </w:r>
          </w:p>
        </w:tc>
        <w:tc>
          <w:tcPr>
            <w:tcW w:w="4785" w:type="dxa"/>
            <w:tcBorders>
              <w:top w:val="single" w:color="auto" w:sz="8" w:space="0"/>
            </w:tcBorders>
          </w:tcPr>
          <w:p>
            <w:pPr>
              <w:pStyle w:val="109"/>
              <w:widowControl w:val="0"/>
              <w:bidi w:val="0"/>
              <w:jc w:val="center"/>
              <w:rPr>
                <w:rFonts w:hint="default"/>
                <w:lang w:val="en-US" w:eastAsia="zh-CN"/>
              </w:rPr>
            </w:pPr>
            <w:r>
              <w:rPr>
                <w:rFonts w:hint="eastAsia"/>
                <w:lang w:val="en-US" w:eastAsia="zh-CN"/>
              </w:rPr>
              <w:t>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蛋白质/%       </w:t>
            </w:r>
            <w:r>
              <w:rPr>
                <w:rFonts w:hint="eastAsia" w:hAnsi="宋体" w:cs="宋体"/>
                <w:color w:val="000000"/>
                <w:sz w:val="18"/>
                <w:szCs w:val="18"/>
                <w:lang w:val="en-US" w:eastAsia="zh-CN"/>
              </w:rPr>
              <w:t xml:space="preserve"> </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4785" w:type="dxa"/>
          </w:tcPr>
          <w:p>
            <w:pPr>
              <w:pStyle w:val="109"/>
              <w:widowControl w:val="0"/>
              <w:bidi w:val="0"/>
              <w:jc w:val="center"/>
              <w:rPr>
                <w:rFonts w:hint="default"/>
                <w:lang w:val="en-US" w:eastAsia="zh-CN"/>
              </w:rPr>
            </w:pPr>
            <w:r>
              <w:rPr>
                <w:rFonts w:hint="eastAsia"/>
                <w:lang w:val="en-US" w:eastAsia="zh-CN"/>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膨胀度/mL/g                                      </w:t>
            </w:r>
            <w:r>
              <w:rPr>
                <w:rFonts w:hint="default" w:ascii="Arial" w:hAnsi="Arial" w:cs="Arial"/>
                <w:color w:val="000000"/>
                <w:sz w:val="18"/>
                <w:szCs w:val="18"/>
                <w:lang w:val="en-US" w:eastAsia="zh-CN"/>
              </w:rPr>
              <w:t>≥</w:t>
            </w:r>
          </w:p>
        </w:tc>
        <w:tc>
          <w:tcPr>
            <w:tcW w:w="4785" w:type="dxa"/>
          </w:tcPr>
          <w:p>
            <w:pPr>
              <w:pStyle w:val="109"/>
              <w:widowControl w:val="0"/>
              <w:bidi w:val="0"/>
              <w:jc w:val="center"/>
              <w:rPr>
                <w:rFonts w:hint="default"/>
                <w:lang w:val="en-US" w:eastAsia="zh-CN"/>
              </w:rPr>
            </w:pPr>
            <w:r>
              <w:rPr>
                <w:rFonts w:hint="eastAsia"/>
                <w:lang w:val="en-US" w:eastAsia="zh-CN"/>
              </w:rPr>
              <w:t>110.0</w:t>
            </w:r>
          </w:p>
        </w:tc>
      </w:tr>
    </w:tbl>
    <w:p>
      <w:pPr>
        <w:pStyle w:val="23"/>
        <w:rPr>
          <w:rFonts w:hint="eastAsia"/>
          <w:lang w:val="en-US" w:eastAsia="zh-CN"/>
        </w:rPr>
      </w:pPr>
    </w:p>
    <w:p>
      <w:pPr>
        <w:pStyle w:val="71"/>
        <w:bidi w:val="0"/>
        <w:rPr>
          <w:rFonts w:hint="eastAsia"/>
          <w:lang w:val="en-US" w:eastAsia="zh-CN"/>
        </w:rPr>
      </w:pPr>
      <w:bookmarkStart w:id="19" w:name="_Toc3060"/>
      <w:r>
        <w:rPr>
          <w:rFonts w:hint="eastAsia"/>
          <w:lang w:val="en-US" w:eastAsia="zh-CN"/>
        </w:rPr>
        <w:t>食品添加剂</w:t>
      </w:r>
      <w:bookmarkEnd w:id="19"/>
    </w:p>
    <w:p>
      <w:pPr>
        <w:pStyle w:val="23"/>
        <w:rPr>
          <w:rFonts w:hint="eastAsia"/>
          <w:lang w:val="en-US" w:eastAsia="zh-CN"/>
        </w:rPr>
      </w:pPr>
      <w:r>
        <w:rPr>
          <w:rFonts w:hint="eastAsia"/>
          <w:lang w:val="en-US" w:eastAsia="zh-CN"/>
        </w:rPr>
        <w:t>应符合GB 2760的规定。</w:t>
      </w:r>
    </w:p>
    <w:p>
      <w:pPr>
        <w:pStyle w:val="71"/>
        <w:bidi w:val="0"/>
        <w:rPr>
          <w:rFonts w:hint="eastAsia"/>
          <w:lang w:val="en-US" w:eastAsia="zh-CN"/>
        </w:rPr>
      </w:pPr>
      <w:bookmarkStart w:id="20" w:name="_Toc866"/>
      <w:r>
        <w:rPr>
          <w:rFonts w:hint="eastAsia"/>
          <w:lang w:val="en-US" w:eastAsia="zh-CN"/>
        </w:rPr>
        <w:t>污染物限量</w:t>
      </w:r>
      <w:bookmarkEnd w:id="20"/>
    </w:p>
    <w:p>
      <w:pPr>
        <w:pStyle w:val="23"/>
        <w:rPr>
          <w:rFonts w:hint="eastAsia"/>
          <w:lang w:val="en-US" w:eastAsia="zh-CN"/>
        </w:rPr>
      </w:pPr>
      <w:r>
        <w:rPr>
          <w:rFonts w:hint="eastAsia"/>
          <w:lang w:val="en-US" w:eastAsia="zh-CN"/>
        </w:rPr>
        <w:t>应符合GB 2762的规定。</w:t>
      </w:r>
    </w:p>
    <w:p>
      <w:pPr>
        <w:pStyle w:val="71"/>
        <w:bidi w:val="0"/>
        <w:rPr>
          <w:rFonts w:hint="eastAsia"/>
          <w:lang w:val="en-US" w:eastAsia="zh-CN"/>
        </w:rPr>
      </w:pPr>
      <w:bookmarkStart w:id="21" w:name="_Toc10504"/>
      <w:r>
        <w:rPr>
          <w:rFonts w:hint="eastAsia"/>
          <w:lang w:val="en-US" w:eastAsia="zh-CN"/>
        </w:rPr>
        <w:t>农药最大残留限量</w:t>
      </w:r>
      <w:bookmarkEnd w:id="21"/>
    </w:p>
    <w:p>
      <w:pPr>
        <w:pStyle w:val="23"/>
        <w:rPr>
          <w:rFonts w:hint="eastAsia"/>
          <w:lang w:val="en-US" w:eastAsia="zh-CN"/>
        </w:rPr>
      </w:pPr>
      <w:r>
        <w:rPr>
          <w:rFonts w:hint="eastAsia"/>
          <w:lang w:val="en-US" w:eastAsia="zh-CN"/>
        </w:rPr>
        <w:t>应符合GB 2763的规定。</w:t>
      </w:r>
    </w:p>
    <w:p>
      <w:pPr>
        <w:pStyle w:val="71"/>
        <w:bidi w:val="0"/>
        <w:rPr>
          <w:rFonts w:hint="eastAsia"/>
          <w:lang w:val="en-US" w:eastAsia="zh-CN"/>
        </w:rPr>
      </w:pPr>
      <w:bookmarkStart w:id="22" w:name="_Toc22261"/>
      <w:r>
        <w:rPr>
          <w:rFonts w:hint="eastAsia"/>
          <w:lang w:val="en-US" w:eastAsia="zh-CN"/>
        </w:rPr>
        <w:t>微生物限量</w:t>
      </w:r>
      <w:bookmarkEnd w:id="22"/>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致病菌限量应符合GB 29921的规定。</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微生物限量应符合表3的规定。</w:t>
      </w:r>
    </w:p>
    <w:p>
      <w:pPr>
        <w:pStyle w:val="111"/>
        <w:bidi w:val="0"/>
        <w:rPr>
          <w:rFonts w:hint="eastAsia"/>
          <w:lang w:val="en-US" w:eastAsia="zh-CN"/>
        </w:rPr>
      </w:pPr>
      <w:r>
        <w:rPr>
          <w:rFonts w:hint="eastAsia"/>
          <w:lang w:val="en-US" w:eastAsia="zh-CN"/>
        </w:rPr>
        <w:t>微生物限量</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2500" w:type="pct"/>
            <w:tcBorders>
              <w:bottom w:val="single" w:color="auto" w:sz="8" w:space="0"/>
            </w:tcBorders>
          </w:tcPr>
          <w:p>
            <w:pPr>
              <w:pStyle w:val="109"/>
              <w:widowControl w:val="0"/>
              <w:bidi w:val="0"/>
              <w:jc w:val="center"/>
              <w:rPr>
                <w:rFonts w:hint="default"/>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tcBorders>
              <w:top w:val="single" w:color="auto" w:sz="8" w:space="0"/>
            </w:tcBorders>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菌落总数/（CFU/g）                                 </w:t>
            </w:r>
            <w:r>
              <w:rPr>
                <w:rFonts w:hint="default" w:ascii="Arial" w:hAnsi="Arial" w:cs="Arial"/>
                <w:color w:val="000000"/>
                <w:sz w:val="18"/>
                <w:szCs w:val="18"/>
                <w:lang w:val="en-US" w:eastAsia="zh-CN"/>
              </w:rPr>
              <w:t>≤</w:t>
            </w:r>
          </w:p>
        </w:tc>
        <w:tc>
          <w:tcPr>
            <w:tcW w:w="2500" w:type="pct"/>
            <w:tcBorders>
              <w:top w:val="single" w:color="auto" w:sz="8" w:space="0"/>
            </w:tcBorders>
          </w:tcPr>
          <w:p>
            <w:pPr>
              <w:pStyle w:val="109"/>
              <w:widowControl w:val="0"/>
              <w:bidi w:val="0"/>
              <w:jc w:val="center"/>
              <w:rPr>
                <w:rFonts w:hint="default"/>
                <w:lang w:val="en-US" w:eastAsia="zh-CN"/>
              </w:rPr>
            </w:pPr>
            <w:r>
              <w:rPr>
                <w:rFonts w:hint="eastAsia"/>
                <w:lang w:val="en-US" w:eastAsia="zh-CN"/>
              </w:rPr>
              <w:t>15 000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kern w:val="0"/>
                <w:sz w:val="18"/>
                <w:szCs w:val="18"/>
                <w:lang w:val="en-US" w:eastAsia="zh-CN"/>
              </w:rPr>
              <w:t>大肠菌落（MPV/100</w:t>
            </w:r>
            <w:r>
              <w:rPr>
                <w:rFonts w:hint="eastAsia" w:ascii="宋体" w:hAnsi="宋体" w:cs="宋体"/>
                <w:color w:val="000000"/>
                <w:sz w:val="18"/>
                <w:szCs w:val="18"/>
                <w:lang w:val="en-US" w:eastAsia="zh-CN"/>
              </w:rPr>
              <w:t>/</w:t>
            </w:r>
            <w:r>
              <w:rPr>
                <w:rFonts w:hint="eastAsia" w:ascii="宋体" w:hAnsi="宋体" w:cs="宋体"/>
                <w:color w:val="000000"/>
                <w:kern w:val="0"/>
                <w:sz w:val="18"/>
                <w:szCs w:val="18"/>
                <w:lang w:val="en-US" w:eastAsia="zh-CN"/>
              </w:rPr>
              <w:t>g）</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785"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lang w:val="en-US" w:eastAsia="zh-CN"/>
              </w:rPr>
              <w:t xml:space="preserve">霉菌计数/（CFU/g）                               </w:t>
            </w:r>
            <w:r>
              <w:rPr>
                <w:rFonts w:hint="default" w:ascii="Arial" w:hAnsi="Arial" w:cs="Arial"/>
                <w:color w:val="000000"/>
                <w:sz w:val="18"/>
                <w:szCs w:val="18"/>
                <w:lang w:val="en-US" w:eastAsia="zh-CN"/>
              </w:rPr>
              <w:t>≤</w:t>
            </w:r>
            <w:r>
              <w:rPr>
                <w:rFonts w:hint="eastAsia" w:ascii="宋体" w:hAnsi="宋体" w:cs="宋体"/>
                <w:color w:val="000000"/>
                <w:sz w:val="18"/>
                <w:szCs w:val="18"/>
                <w:lang w:val="en-US" w:eastAsia="zh-CN"/>
              </w:rPr>
              <w:t xml:space="preserve">                                    </w:t>
            </w:r>
          </w:p>
        </w:tc>
        <w:tc>
          <w:tcPr>
            <w:tcW w:w="2500" w:type="pct"/>
          </w:tcPr>
          <w:p>
            <w:pPr>
              <w:pStyle w:val="109"/>
              <w:widowControl w:val="0"/>
              <w:bidi w:val="0"/>
              <w:jc w:val="center"/>
              <w:rPr>
                <w:rFonts w:hint="default"/>
                <w:lang w:val="en-US" w:eastAsia="zh-CN"/>
              </w:rPr>
            </w:pPr>
            <w:r>
              <w:rPr>
                <w:rFonts w:hint="eastAsia"/>
                <w:lang w:val="en-US" w:eastAsia="zh-CN"/>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center"/>
          </w:tcPr>
          <w:p>
            <w:pPr>
              <w:adjustRightInd/>
              <w:spacing w:line="240" w:lineRule="auto"/>
              <w:jc w:val="right"/>
              <w:rPr>
                <w:rFonts w:hint="eastAsia"/>
                <w:lang w:val="en-US" w:eastAsia="zh-CN"/>
              </w:rPr>
            </w:pPr>
            <w:r>
              <w:rPr>
                <w:rFonts w:hint="eastAsia" w:ascii="宋体" w:hAnsi="宋体" w:cs="宋体"/>
                <w:color w:val="000000"/>
                <w:sz w:val="18"/>
                <w:szCs w:val="18"/>
                <w:lang w:val="en-US" w:eastAsia="zh-CN"/>
              </w:rPr>
              <w:t xml:space="preserve">酵母计数/（CFU/g）                                 </w:t>
            </w:r>
            <w:r>
              <w:rPr>
                <w:rFonts w:hint="default" w:ascii="Arial" w:hAnsi="Arial" w:cs="Arial"/>
                <w:color w:val="000000"/>
                <w:sz w:val="18"/>
                <w:szCs w:val="18"/>
                <w:lang w:val="en-US" w:eastAsia="zh-CN"/>
              </w:rPr>
              <w:t>≤</w:t>
            </w:r>
          </w:p>
        </w:tc>
        <w:tc>
          <w:tcPr>
            <w:tcW w:w="2500" w:type="pct"/>
          </w:tcPr>
          <w:p>
            <w:pPr>
              <w:pStyle w:val="109"/>
              <w:widowControl w:val="0"/>
              <w:bidi w:val="0"/>
              <w:jc w:val="center"/>
              <w:rPr>
                <w:rFonts w:hint="default"/>
                <w:lang w:val="en-US" w:eastAsia="zh-CN"/>
              </w:rPr>
            </w:pPr>
            <w:r>
              <w:rPr>
                <w:rFonts w:hint="eastAsia"/>
                <w:lang w:val="en-US" w:eastAsia="zh-CN"/>
              </w:rPr>
              <w:t>30</w:t>
            </w:r>
          </w:p>
        </w:tc>
      </w:tr>
    </w:tbl>
    <w:p>
      <w:pPr>
        <w:pStyle w:val="71"/>
        <w:bidi w:val="0"/>
        <w:rPr>
          <w:rFonts w:hint="eastAsia"/>
          <w:lang w:val="en-US" w:eastAsia="zh-CN"/>
        </w:rPr>
      </w:pPr>
      <w:bookmarkStart w:id="23" w:name="_Toc26757"/>
      <w:r>
        <w:rPr>
          <w:rFonts w:hint="eastAsia"/>
          <w:lang w:val="en-US" w:eastAsia="zh-CN"/>
        </w:rPr>
        <w:t>净含量偏差</w:t>
      </w:r>
      <w:bookmarkEnd w:id="23"/>
    </w:p>
    <w:p>
      <w:pPr>
        <w:pStyle w:val="23"/>
        <w:rPr>
          <w:rFonts w:hint="eastAsia"/>
          <w:lang w:val="en-US" w:eastAsia="zh-CN"/>
        </w:rPr>
      </w:pPr>
      <w:r>
        <w:rPr>
          <w:rFonts w:hint="eastAsia"/>
          <w:lang w:val="en-US" w:eastAsia="zh-CN"/>
        </w:rPr>
        <w:t>净含量偏差应符合国家《定量包装商品计量监督管理办法》的规定。</w:t>
      </w:r>
    </w:p>
    <w:p>
      <w:pPr>
        <w:pStyle w:val="70"/>
        <w:bidi w:val="0"/>
        <w:rPr>
          <w:rFonts w:hint="eastAsia"/>
          <w:lang w:val="en-US" w:eastAsia="zh-CN"/>
        </w:rPr>
      </w:pPr>
      <w:bookmarkStart w:id="24" w:name="_Toc14845"/>
      <w:r>
        <w:rPr>
          <w:rFonts w:hint="eastAsia"/>
          <w:lang w:val="en-US" w:eastAsia="zh-CN"/>
        </w:rPr>
        <w:t>检验方法</w:t>
      </w:r>
      <w:bookmarkEnd w:id="24"/>
    </w:p>
    <w:p>
      <w:pPr>
        <w:pStyle w:val="71"/>
        <w:bidi w:val="0"/>
        <w:rPr>
          <w:rFonts w:hint="eastAsia"/>
          <w:lang w:val="en-US" w:eastAsia="zh-CN"/>
        </w:rPr>
      </w:pPr>
      <w:bookmarkStart w:id="25" w:name="_Toc27280"/>
      <w:r>
        <w:rPr>
          <w:rFonts w:hint="eastAsia"/>
          <w:lang w:val="en-US" w:eastAsia="zh-CN"/>
        </w:rPr>
        <w:t>感官要求</w:t>
      </w:r>
      <w:bookmarkEnd w:id="25"/>
    </w:p>
    <w:p>
      <w:pPr>
        <w:pStyle w:val="23"/>
        <w:rPr>
          <w:rFonts w:hint="eastAsia"/>
          <w:lang w:val="en-US" w:eastAsia="zh-CN"/>
        </w:rPr>
      </w:pPr>
      <w:r>
        <w:rPr>
          <w:rFonts w:hint="eastAsia"/>
          <w:lang w:val="en-US" w:eastAsia="zh-CN"/>
        </w:rPr>
        <w:t>按照《中华人民共和国药典》2020年版（一部）的规定执行。</w:t>
      </w:r>
    </w:p>
    <w:p>
      <w:pPr>
        <w:pStyle w:val="71"/>
        <w:bidi w:val="0"/>
        <w:rPr>
          <w:rFonts w:hint="eastAsia"/>
          <w:lang w:val="en-US" w:eastAsia="zh-CN"/>
        </w:rPr>
      </w:pPr>
      <w:bookmarkStart w:id="26" w:name="_Toc918"/>
      <w:r>
        <w:rPr>
          <w:rFonts w:hint="eastAsia"/>
          <w:lang w:val="en-US" w:eastAsia="zh-CN"/>
        </w:rPr>
        <w:t>理化指标</w:t>
      </w:r>
      <w:bookmarkEnd w:id="26"/>
    </w:p>
    <w:p>
      <w:pPr>
        <w:pStyle w:val="72"/>
        <w:bidi w:val="0"/>
        <w:rPr>
          <w:rFonts w:hint="eastAsia"/>
          <w:lang w:val="en-US" w:eastAsia="zh-CN"/>
        </w:rPr>
      </w:pPr>
      <w:r>
        <w:rPr>
          <w:rFonts w:hint="eastAsia"/>
          <w:lang w:val="en-US" w:eastAsia="zh-CN"/>
        </w:rPr>
        <w:t>水分</w:t>
      </w:r>
    </w:p>
    <w:p>
      <w:pPr>
        <w:pStyle w:val="23"/>
        <w:rPr>
          <w:rFonts w:hint="eastAsia"/>
          <w:lang w:val="en-US" w:eastAsia="zh-CN"/>
        </w:rPr>
      </w:pPr>
      <w:r>
        <w:rPr>
          <w:rFonts w:hint="eastAsia"/>
          <w:lang w:val="en-US" w:eastAsia="zh-CN"/>
        </w:rPr>
        <w:t>按GB 5009.3的规定执行。</w:t>
      </w:r>
    </w:p>
    <w:p>
      <w:pPr>
        <w:pStyle w:val="72"/>
        <w:bidi w:val="0"/>
        <w:rPr>
          <w:rFonts w:hint="eastAsia"/>
          <w:lang w:val="en-US" w:eastAsia="zh-CN"/>
        </w:rPr>
      </w:pPr>
      <w:r>
        <w:rPr>
          <w:rFonts w:hint="eastAsia"/>
          <w:lang w:val="en-US" w:eastAsia="zh-CN"/>
        </w:rPr>
        <w:t>脂肪</w:t>
      </w:r>
    </w:p>
    <w:p>
      <w:pPr>
        <w:pStyle w:val="23"/>
        <w:rPr>
          <w:rFonts w:hint="eastAsia"/>
          <w:lang w:val="en-US" w:eastAsia="zh-CN"/>
        </w:rPr>
      </w:pPr>
      <w:r>
        <w:rPr>
          <w:rFonts w:hint="eastAsia"/>
          <w:lang w:val="en-US" w:eastAsia="zh-CN"/>
        </w:rPr>
        <w:t>按GB 5009.6的规定执行。</w:t>
      </w:r>
    </w:p>
    <w:p>
      <w:pPr>
        <w:pStyle w:val="72"/>
        <w:bidi w:val="0"/>
        <w:rPr>
          <w:rFonts w:hint="eastAsia"/>
          <w:lang w:val="en-US" w:eastAsia="zh-CN"/>
        </w:rPr>
      </w:pPr>
      <w:r>
        <w:rPr>
          <w:rFonts w:hint="eastAsia"/>
          <w:lang w:val="en-US" w:eastAsia="zh-CN"/>
        </w:rPr>
        <w:t>蛋白质</w:t>
      </w:r>
    </w:p>
    <w:p>
      <w:pPr>
        <w:pStyle w:val="23"/>
        <w:ind w:firstLine="420"/>
        <w:rPr>
          <w:rFonts w:hint="eastAsia"/>
        </w:rPr>
      </w:pPr>
      <w:r>
        <w:rPr>
          <w:rFonts w:hint="eastAsia"/>
        </w:rPr>
        <w:t xml:space="preserve">按GB </w:t>
      </w:r>
      <w:r>
        <w:rPr>
          <w:rFonts w:hint="eastAsia"/>
          <w:lang w:val="en-US" w:eastAsia="zh-CN"/>
        </w:rPr>
        <w:t>5009.5的规定执行</w:t>
      </w:r>
      <w:r>
        <w:rPr>
          <w:rFonts w:hint="eastAsia"/>
        </w:rPr>
        <w:t>。</w:t>
      </w:r>
    </w:p>
    <w:p>
      <w:pPr>
        <w:pStyle w:val="72"/>
        <w:bidi w:val="0"/>
        <w:rPr>
          <w:rFonts w:hint="eastAsia"/>
          <w:lang w:val="en-US" w:eastAsia="zh-CN"/>
        </w:rPr>
      </w:pPr>
      <w:r>
        <w:rPr>
          <w:rFonts w:hint="eastAsia"/>
          <w:lang w:val="en-US" w:eastAsia="zh-CN"/>
        </w:rPr>
        <w:t>膨胀度</w:t>
      </w:r>
    </w:p>
    <w:p>
      <w:pPr>
        <w:pStyle w:val="23"/>
        <w:ind w:firstLine="420"/>
        <w:rPr>
          <w:rFonts w:hint="eastAsia"/>
          <w:lang w:val="en-US" w:eastAsia="zh-CN"/>
        </w:rPr>
      </w:pPr>
      <w:r>
        <w:rPr>
          <w:rFonts w:hint="eastAsia"/>
        </w:rPr>
        <w:t>按</w:t>
      </w:r>
      <w:r>
        <w:rPr>
          <w:rFonts w:hint="eastAsia"/>
          <w:lang w:val="en-US" w:eastAsia="zh-CN"/>
        </w:rPr>
        <w:t>《中华人民共和国药典》2020年版（一部）的规定执行。</w:t>
      </w:r>
    </w:p>
    <w:p>
      <w:pPr>
        <w:pStyle w:val="71"/>
        <w:bidi w:val="0"/>
        <w:rPr>
          <w:rFonts w:hint="eastAsia"/>
        </w:rPr>
      </w:pPr>
      <w:r>
        <w:rPr>
          <w:rFonts w:hint="eastAsia"/>
          <w:lang w:val="en-US" w:eastAsia="zh-CN"/>
        </w:rPr>
        <w:t>食品添加剂</w:t>
      </w:r>
    </w:p>
    <w:p>
      <w:pPr>
        <w:pStyle w:val="23"/>
        <w:rPr>
          <w:rFonts w:hint="eastAsia"/>
          <w:lang w:val="en-US" w:eastAsia="zh-CN"/>
        </w:rPr>
      </w:pPr>
      <w:r>
        <w:rPr>
          <w:rFonts w:hint="eastAsia"/>
          <w:lang w:val="en-US" w:eastAsia="zh-CN"/>
        </w:rPr>
        <w:t>按GB 2760的规定执行。</w:t>
      </w:r>
    </w:p>
    <w:p>
      <w:pPr>
        <w:pStyle w:val="71"/>
        <w:bidi w:val="0"/>
        <w:rPr>
          <w:rFonts w:hint="eastAsia"/>
          <w:lang w:val="en-US" w:eastAsia="zh-CN"/>
        </w:rPr>
      </w:pPr>
      <w:r>
        <w:rPr>
          <w:rFonts w:hint="eastAsia"/>
          <w:lang w:val="en-US" w:eastAsia="zh-CN"/>
        </w:rPr>
        <w:t>污染物限量</w:t>
      </w:r>
    </w:p>
    <w:p>
      <w:pPr>
        <w:pStyle w:val="71"/>
        <w:numPr>
          <w:numId w:val="0"/>
        </w:numPr>
        <w:bidi w:val="0"/>
        <w:ind w:leftChars="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按GB 2762的规定执行。</w:t>
      </w:r>
    </w:p>
    <w:p>
      <w:pPr>
        <w:pStyle w:val="71"/>
        <w:bidi w:val="0"/>
        <w:rPr>
          <w:rFonts w:hint="eastAsia"/>
          <w:lang w:val="en-US" w:eastAsia="zh-CN"/>
        </w:rPr>
      </w:pPr>
      <w:r>
        <w:rPr>
          <w:rFonts w:hint="eastAsia"/>
          <w:lang w:val="en-US" w:eastAsia="zh-CN"/>
        </w:rPr>
        <w:t>农药最大残留限量</w:t>
      </w:r>
    </w:p>
    <w:p>
      <w:pPr>
        <w:pStyle w:val="23"/>
        <w:rPr>
          <w:rFonts w:hint="eastAsia"/>
          <w:lang w:val="en-US" w:eastAsia="zh-CN"/>
        </w:rPr>
      </w:pPr>
      <w:r>
        <w:rPr>
          <w:rFonts w:hint="eastAsia"/>
          <w:lang w:val="en-US" w:eastAsia="zh-CN"/>
        </w:rPr>
        <w:t>按GB 2763的规定执行。。</w:t>
      </w:r>
    </w:p>
    <w:p>
      <w:pPr>
        <w:pStyle w:val="71"/>
        <w:spacing w:before="156" w:after="156"/>
        <w:ind w:left="0"/>
      </w:pPr>
      <w:r>
        <w:rPr>
          <w:rFonts w:hint="eastAsia"/>
          <w:lang w:val="en-US" w:eastAsia="zh-CN"/>
        </w:rPr>
        <w:t>微生物限量</w:t>
      </w:r>
    </w:p>
    <w:p>
      <w:pPr>
        <w:pStyle w:val="72"/>
        <w:bidi w:val="0"/>
        <w:rPr>
          <w:rFonts w:hint="default"/>
          <w:lang w:val="en-US" w:eastAsia="zh-CN"/>
        </w:rPr>
      </w:pPr>
      <w:r>
        <w:rPr>
          <w:rFonts w:hint="eastAsia" w:ascii="宋体" w:hAnsi="Times New Roman" w:eastAsia="宋体" w:cs="Times New Roman"/>
          <w:sz w:val="21"/>
          <w:lang w:val="en-US" w:eastAsia="zh-CN" w:bidi="ar-SA"/>
        </w:rPr>
        <w:t>致病菌限量按GB 29921的规定</w:t>
      </w:r>
      <w:r>
        <w:rPr>
          <w:rFonts w:hint="eastAsia" w:ascii="宋体" w:hAnsi="Times New Roman" w:eastAsia="宋体" w:cs="宋体"/>
          <w:sz w:val="21"/>
          <w:lang w:val="en-US" w:eastAsia="zh-CN"/>
        </w:rPr>
        <w:t>执行</w:t>
      </w:r>
      <w:r>
        <w:rPr>
          <w:rFonts w:hint="eastAsia" w:ascii="宋体" w:hAnsi="Times New Roman" w:eastAsia="宋体" w:cs="Times New Roman"/>
          <w:sz w:val="21"/>
          <w:lang w:val="en-US" w:eastAsia="zh-CN" w:bidi="ar-SA"/>
        </w:rPr>
        <w:t>。</w:t>
      </w:r>
    </w:p>
    <w:p>
      <w:pPr>
        <w:pStyle w:val="72"/>
        <w:bidi w:val="0"/>
        <w:rPr>
          <w:rFonts w:hint="default"/>
          <w:lang w:val="en-US" w:eastAsia="zh-CN"/>
        </w:rPr>
      </w:pPr>
      <w:r>
        <w:rPr>
          <w:rFonts w:hint="eastAsia"/>
          <w:lang w:val="en-US" w:eastAsia="zh-CN"/>
        </w:rPr>
        <w:t>微生物限量</w:t>
      </w:r>
    </w:p>
    <w:p>
      <w:pPr>
        <w:pStyle w:val="73"/>
        <w:bidi w:val="0"/>
        <w:rPr>
          <w:rFonts w:hint="eastAsia"/>
          <w:lang w:val="en-US" w:eastAsia="zh-CN"/>
        </w:rPr>
      </w:pPr>
      <w:r>
        <w:rPr>
          <w:rFonts w:hint="eastAsia"/>
          <w:lang w:val="en-US" w:eastAsia="zh-CN"/>
        </w:rPr>
        <w:t>菌落总数</w:t>
      </w:r>
    </w:p>
    <w:p>
      <w:pPr>
        <w:pStyle w:val="23"/>
        <w:ind w:firstLine="840" w:firstLineChars="400"/>
        <w:rPr>
          <w:rFonts w:hint="eastAsia"/>
          <w:lang w:val="en-US" w:eastAsia="zh-CN"/>
        </w:rPr>
      </w:pPr>
      <w:r>
        <w:rPr>
          <w:rFonts w:hint="eastAsia"/>
          <w:lang w:val="en-US" w:eastAsia="zh-CN"/>
        </w:rPr>
        <w:t>按GB 4789.2的规定执行。</w:t>
      </w:r>
    </w:p>
    <w:p>
      <w:pPr>
        <w:pStyle w:val="73"/>
        <w:bidi w:val="0"/>
        <w:rPr>
          <w:rFonts w:hint="default"/>
          <w:lang w:val="en-US" w:eastAsia="zh-CN"/>
        </w:rPr>
      </w:pPr>
      <w:r>
        <w:rPr>
          <w:rFonts w:hint="eastAsia"/>
          <w:lang w:val="en-US" w:eastAsia="zh-CN"/>
        </w:rPr>
        <w:t>大肠菌群</w:t>
      </w:r>
    </w:p>
    <w:p>
      <w:pPr>
        <w:pStyle w:val="23"/>
        <w:ind w:firstLine="840" w:firstLineChars="400"/>
        <w:rPr>
          <w:rFonts w:hint="eastAsia"/>
          <w:lang w:val="en-US" w:eastAsia="zh-CN"/>
        </w:rPr>
      </w:pPr>
      <w:r>
        <w:rPr>
          <w:rFonts w:hint="eastAsia"/>
          <w:lang w:val="en-US" w:eastAsia="zh-CN"/>
        </w:rPr>
        <w:t>按GB 4789.3的规定执行。</w:t>
      </w:r>
    </w:p>
    <w:p>
      <w:pPr>
        <w:pStyle w:val="73"/>
        <w:bidi w:val="0"/>
        <w:rPr>
          <w:rFonts w:hint="default"/>
          <w:lang w:val="en-US" w:eastAsia="zh-CN"/>
        </w:rPr>
      </w:pPr>
      <w:r>
        <w:rPr>
          <w:rFonts w:hint="eastAsia"/>
          <w:lang w:val="en-US" w:eastAsia="zh-CN"/>
        </w:rPr>
        <w:t>霉菌和酵母计数</w:t>
      </w:r>
    </w:p>
    <w:p>
      <w:pPr>
        <w:pStyle w:val="23"/>
        <w:ind w:firstLine="840" w:firstLineChars="400"/>
        <w:rPr>
          <w:rFonts w:hint="eastAsia"/>
          <w:lang w:val="en-US" w:eastAsia="zh-CN"/>
        </w:rPr>
      </w:pPr>
      <w:bookmarkStart w:id="48" w:name="_GoBack"/>
      <w:bookmarkEnd w:id="48"/>
      <w:r>
        <w:rPr>
          <w:rFonts w:hint="eastAsia"/>
          <w:lang w:val="en-US" w:eastAsia="zh-CN"/>
        </w:rPr>
        <w:t>按GB 4789.15的规定执行。</w:t>
      </w:r>
    </w:p>
    <w:p>
      <w:pPr>
        <w:pStyle w:val="71"/>
        <w:bidi w:val="0"/>
        <w:rPr>
          <w:rFonts w:hint="eastAsia"/>
          <w:lang w:val="en-US" w:eastAsia="zh-CN"/>
        </w:rPr>
      </w:pPr>
      <w:r>
        <w:rPr>
          <w:rFonts w:hint="eastAsia"/>
          <w:lang w:val="en-US" w:eastAsia="zh-CN"/>
        </w:rPr>
        <w:t>净含量</w:t>
      </w:r>
    </w:p>
    <w:p>
      <w:pPr>
        <w:pStyle w:val="23"/>
        <w:rPr>
          <w:rFonts w:hint="default"/>
          <w:lang w:val="en-US" w:eastAsia="zh-CN"/>
        </w:rPr>
      </w:pPr>
      <w:r>
        <w:rPr>
          <w:rFonts w:hint="eastAsia"/>
          <w:lang w:val="en-US" w:eastAsia="zh-CN"/>
        </w:rPr>
        <w:t>按JJF 1070的规定执行</w:t>
      </w:r>
    </w:p>
    <w:p>
      <w:pPr>
        <w:pStyle w:val="70"/>
        <w:bidi w:val="0"/>
        <w:rPr>
          <w:rFonts w:hint="default"/>
          <w:lang w:val="en-US" w:eastAsia="zh-CN"/>
        </w:rPr>
      </w:pPr>
      <w:bookmarkStart w:id="27" w:name="_Toc11060"/>
      <w:bookmarkStart w:id="28" w:name="_Toc124353587"/>
      <w:bookmarkStart w:id="29" w:name="_Toc124353534"/>
      <w:bookmarkStart w:id="30" w:name="_Toc124353563"/>
      <w:r>
        <w:rPr>
          <w:rFonts w:hint="default"/>
          <w:lang w:val="en-US" w:eastAsia="zh-CN"/>
        </w:rPr>
        <w:t>检验规则</w:t>
      </w:r>
      <w:bookmarkEnd w:id="27"/>
      <w:bookmarkEnd w:id="28"/>
      <w:bookmarkEnd w:id="29"/>
      <w:bookmarkEnd w:id="30"/>
    </w:p>
    <w:p>
      <w:pPr>
        <w:pStyle w:val="71"/>
        <w:bidi w:val="0"/>
        <w:rPr>
          <w:rFonts w:hint="default"/>
          <w:lang w:val="en-US" w:eastAsia="zh-CN"/>
        </w:rPr>
      </w:pPr>
      <w:bookmarkStart w:id="31" w:name="_Toc17273"/>
      <w:r>
        <w:rPr>
          <w:rFonts w:hint="eastAsia"/>
          <w:lang w:val="en-US" w:eastAsia="zh-CN"/>
        </w:rPr>
        <w:t>组批和抽样</w:t>
      </w:r>
      <w:bookmarkEnd w:id="31"/>
    </w:p>
    <w:p>
      <w:pPr>
        <w:pStyle w:val="23"/>
        <w:rPr>
          <w:rFonts w:hint="eastAsia"/>
          <w:lang w:val="en-US" w:eastAsia="zh-CN"/>
        </w:rPr>
      </w:pPr>
      <w:r>
        <w:rPr>
          <w:rFonts w:hint="default"/>
          <w:lang w:val="en-US" w:eastAsia="zh-CN"/>
        </w:rPr>
        <w:t>以同一班次生产的同一品种、同一规格</w:t>
      </w:r>
      <w:r>
        <w:rPr>
          <w:rFonts w:hint="eastAsia"/>
          <w:lang w:val="en-US" w:eastAsia="zh-CN"/>
        </w:rPr>
        <w:t>、同一产地、相同质量等级</w:t>
      </w:r>
      <w:r>
        <w:rPr>
          <w:rFonts w:hint="default"/>
          <w:lang w:val="en-US" w:eastAsia="zh-CN"/>
        </w:rPr>
        <w:t>的产品为一批</w:t>
      </w:r>
      <w:r>
        <w:rPr>
          <w:rFonts w:hint="eastAsia"/>
          <w:lang w:val="en-US" w:eastAsia="zh-CN"/>
        </w:rPr>
        <w:t>，从每批产品不同部位随机抽取样品不少于300g。</w:t>
      </w:r>
    </w:p>
    <w:p>
      <w:pPr>
        <w:pStyle w:val="71"/>
        <w:bidi w:val="0"/>
        <w:rPr>
          <w:rFonts w:hint="eastAsia"/>
          <w:lang w:val="en-US" w:eastAsia="zh-CN"/>
        </w:rPr>
      </w:pPr>
      <w:bookmarkStart w:id="32" w:name="_Toc22458"/>
      <w:r>
        <w:rPr>
          <w:rFonts w:hint="eastAsia"/>
          <w:lang w:val="en-US" w:eastAsia="zh-CN"/>
        </w:rPr>
        <w:t>出厂检验</w:t>
      </w:r>
      <w:bookmarkEnd w:id="32"/>
    </w:p>
    <w:p>
      <w:pPr>
        <w:pStyle w:val="72"/>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2"/>
        <w:bidi w:val="0"/>
        <w:rPr>
          <w:rFonts w:hint="eastAsia"/>
          <w:lang w:val="en-US" w:eastAsia="zh-CN"/>
        </w:rPr>
      </w:pPr>
      <w:r>
        <w:rPr>
          <w:rFonts w:hint="eastAsia" w:ascii="宋体" w:hAnsi="宋体" w:eastAsia="宋体"/>
        </w:rPr>
        <w:t>检验项目为感官</w:t>
      </w:r>
      <w:r>
        <w:rPr>
          <w:rFonts w:hint="eastAsia" w:ascii="宋体" w:hAnsi="宋体" w:eastAsia="宋体"/>
          <w:lang w:eastAsia="zh-CN"/>
        </w:rPr>
        <w:t>要求，理化指标</w:t>
      </w:r>
      <w:r>
        <w:rPr>
          <w:rFonts w:hint="eastAsia" w:ascii="宋体" w:hAnsi="宋体" w:eastAsia="宋体"/>
          <w:lang w:val="en-US" w:eastAsia="zh-CN"/>
        </w:rPr>
        <w:t>。</w:t>
      </w:r>
    </w:p>
    <w:p>
      <w:pPr>
        <w:pStyle w:val="71"/>
        <w:bidi w:val="0"/>
        <w:rPr>
          <w:rFonts w:hint="eastAsia"/>
          <w:lang w:val="en-US" w:eastAsia="zh-CN"/>
        </w:rPr>
      </w:pPr>
      <w:bookmarkStart w:id="33" w:name="_Toc9335"/>
      <w:r>
        <w:rPr>
          <w:rFonts w:hint="eastAsia"/>
          <w:lang w:val="en-US" w:eastAsia="zh-CN"/>
        </w:rPr>
        <w:t>型式检验</w:t>
      </w:r>
      <w:bookmarkEnd w:id="33"/>
    </w:p>
    <w:p>
      <w:pPr>
        <w:pStyle w:val="72"/>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lang w:val="en-US" w:eastAsia="zh-CN"/>
        </w:rPr>
        <w:t>技术</w:t>
      </w:r>
      <w:r>
        <w:rPr>
          <w:rFonts w:hint="eastAsia" w:ascii="宋体" w:hAnsi="宋体" w:eastAsia="宋体"/>
        </w:rPr>
        <w:t>要求中规定的全部项目。有下列情况之一时，应进行</w:t>
      </w:r>
      <w:r>
        <w:rPr>
          <w:rFonts w:hint="eastAsia" w:ascii="宋体" w:hAnsi="宋体" w:eastAsia="宋体"/>
          <w:lang w:eastAsia="zh-CN"/>
        </w:rPr>
        <w:t>：</w:t>
      </w:r>
    </w:p>
    <w:p>
      <w:pPr>
        <w:pStyle w:val="23"/>
        <w:rPr>
          <w:rFonts w:hint="default"/>
          <w:lang w:val="en-US" w:eastAsia="zh-CN"/>
        </w:rPr>
      </w:pPr>
      <w:r>
        <w:rPr>
          <w:rFonts w:hint="default"/>
          <w:lang w:val="en-US" w:eastAsia="zh-CN"/>
        </w:rPr>
        <w:t>a）工艺或原料发生重大改变时；</w:t>
      </w:r>
    </w:p>
    <w:p>
      <w:pPr>
        <w:pStyle w:val="23"/>
        <w:rPr>
          <w:rFonts w:hint="default"/>
          <w:lang w:val="en-US" w:eastAsia="zh-CN"/>
        </w:rPr>
      </w:pPr>
      <w:r>
        <w:rPr>
          <w:rFonts w:hint="default"/>
          <w:lang w:val="en-US" w:eastAsia="zh-CN"/>
        </w:rPr>
        <w:t>b）客户有型式检验要求时；</w:t>
      </w:r>
    </w:p>
    <w:p>
      <w:pPr>
        <w:pStyle w:val="23"/>
        <w:rPr>
          <w:rFonts w:hint="default"/>
          <w:lang w:val="en-US" w:eastAsia="zh-CN"/>
        </w:rPr>
      </w:pPr>
      <w:r>
        <w:rPr>
          <w:rFonts w:hint="default"/>
          <w:lang w:val="en-US" w:eastAsia="zh-CN"/>
        </w:rPr>
        <w:t>c）供需双方对产品质量有争议，请第三方进行仲裁时；</w:t>
      </w:r>
    </w:p>
    <w:p>
      <w:pPr>
        <w:pStyle w:val="23"/>
        <w:rPr>
          <w:rFonts w:hint="default"/>
          <w:lang w:val="en-US" w:eastAsia="zh-CN"/>
        </w:rPr>
      </w:pPr>
      <w:r>
        <w:rPr>
          <w:rFonts w:hint="default"/>
          <w:lang w:val="en-US" w:eastAsia="zh-CN"/>
        </w:rPr>
        <w:t>d）国家质量监督</w:t>
      </w:r>
      <w:r>
        <w:rPr>
          <w:rFonts w:hint="eastAsia"/>
          <w:lang w:val="en-US" w:eastAsia="zh-CN"/>
        </w:rPr>
        <w:t>管理部门</w:t>
      </w:r>
      <w:r>
        <w:rPr>
          <w:rFonts w:hint="default"/>
          <w:lang w:val="en-US" w:eastAsia="zh-CN"/>
        </w:rPr>
        <w:t>提出要求时。</w:t>
      </w:r>
    </w:p>
    <w:p>
      <w:pPr>
        <w:pStyle w:val="71"/>
        <w:bidi w:val="0"/>
        <w:rPr>
          <w:rFonts w:hint="default"/>
          <w:lang w:val="en-US" w:eastAsia="zh-CN"/>
        </w:rPr>
      </w:pPr>
      <w:bookmarkStart w:id="34" w:name="_Toc14078"/>
      <w:bookmarkStart w:id="35" w:name="_Toc32691"/>
      <w:r>
        <w:rPr>
          <w:rFonts w:hint="eastAsia"/>
          <w:lang w:val="en-US" w:eastAsia="zh-CN"/>
        </w:rPr>
        <w:t>判定规则</w:t>
      </w:r>
      <w:bookmarkEnd w:id="34"/>
      <w:bookmarkEnd w:id="35"/>
    </w:p>
    <w:p>
      <w:pPr>
        <w:pStyle w:val="23"/>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w:t>
      </w:r>
      <w:r>
        <w:rPr>
          <w:rFonts w:hint="eastAsia"/>
          <w:lang w:val="en-US" w:eastAsia="zh-CN"/>
        </w:rPr>
        <w:t>农药最大残留限量、</w:t>
      </w:r>
      <w:r>
        <w:rPr>
          <w:rFonts w:hint="eastAsia"/>
        </w:rPr>
        <w:t>微生物</w:t>
      </w:r>
      <w:r>
        <w:rPr>
          <w:rFonts w:hint="eastAsia"/>
          <w:lang w:eastAsia="zh-CN"/>
        </w:rPr>
        <w:t>限量</w:t>
      </w:r>
      <w:r>
        <w:rPr>
          <w:rFonts w:hint="eastAsia"/>
        </w:rPr>
        <w:t>指标不得复检。</w:t>
      </w:r>
    </w:p>
    <w:p>
      <w:pPr>
        <w:pStyle w:val="70"/>
        <w:bidi w:val="0"/>
        <w:rPr>
          <w:rFonts w:hint="eastAsia"/>
        </w:rPr>
      </w:pPr>
      <w:bookmarkStart w:id="36" w:name="_Toc20436"/>
      <w:bookmarkStart w:id="37" w:name="_Toc11078"/>
      <w:r>
        <w:rPr>
          <w:rFonts w:hint="eastAsia"/>
        </w:rPr>
        <w:t>标志、包装、运输</w:t>
      </w:r>
      <w:r>
        <w:rPr>
          <w:rFonts w:hint="eastAsia"/>
          <w:lang w:val="en-US" w:eastAsia="zh-CN"/>
        </w:rPr>
        <w:t>和</w:t>
      </w:r>
      <w:r>
        <w:rPr>
          <w:rFonts w:hint="eastAsia"/>
        </w:rPr>
        <w:t>贮存</w:t>
      </w:r>
      <w:bookmarkEnd w:id="36"/>
      <w:bookmarkEnd w:id="37"/>
    </w:p>
    <w:p>
      <w:pPr>
        <w:pStyle w:val="71"/>
        <w:bidi w:val="0"/>
        <w:rPr>
          <w:rFonts w:hint="eastAsia"/>
        </w:rPr>
      </w:pPr>
      <w:bookmarkStart w:id="38" w:name="_Toc1891"/>
      <w:bookmarkStart w:id="39" w:name="_Toc12614"/>
      <w:r>
        <w:rPr>
          <w:rFonts w:hint="eastAsia"/>
          <w:lang w:val="en-US" w:eastAsia="zh-CN"/>
        </w:rPr>
        <w:t>标志</w:t>
      </w:r>
      <w:bookmarkEnd w:id="38"/>
      <w:bookmarkEnd w:id="39"/>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eastAsia="zh-CN"/>
        </w:rPr>
      </w:pPr>
      <w:bookmarkStart w:id="40" w:name="_Toc3501"/>
      <w:bookmarkStart w:id="41" w:name="_Toc16528"/>
      <w:r>
        <w:rPr>
          <w:rFonts w:hint="eastAsia"/>
          <w:lang w:val="en-US" w:eastAsia="zh-CN"/>
        </w:rPr>
        <w:t>包装</w:t>
      </w:r>
      <w:bookmarkEnd w:id="40"/>
      <w:bookmarkEnd w:id="41"/>
    </w:p>
    <w:p>
      <w:pPr>
        <w:pStyle w:val="23"/>
        <w:rPr>
          <w:rFonts w:hint="eastAsia"/>
          <w:lang w:eastAsia="zh-CN"/>
        </w:rPr>
      </w:pPr>
      <w:r>
        <w:rPr>
          <w:rFonts w:hint="eastAsia"/>
          <w:lang w:eastAsia="zh-CN"/>
        </w:rPr>
        <w:t>包装应符合GB</w:t>
      </w:r>
      <w:r>
        <w:rPr>
          <w:rFonts w:hint="eastAsia"/>
          <w:lang w:val="en-US" w:eastAsia="zh-CN"/>
        </w:rPr>
        <w:t xml:space="preserve"> 9683</w:t>
      </w:r>
      <w:r>
        <w:rPr>
          <w:rFonts w:hint="eastAsia"/>
          <w:lang w:eastAsia="zh-CN"/>
        </w:rPr>
        <w:t>的规定。外包装应符合GB/T 6543的规定。</w:t>
      </w:r>
    </w:p>
    <w:p>
      <w:pPr>
        <w:pStyle w:val="71"/>
        <w:bidi w:val="0"/>
        <w:rPr>
          <w:rFonts w:hint="eastAsia"/>
          <w:lang w:eastAsia="zh-CN"/>
        </w:rPr>
      </w:pPr>
      <w:bookmarkStart w:id="42" w:name="_Toc11884"/>
      <w:bookmarkStart w:id="43" w:name="_Toc10361"/>
      <w:r>
        <w:rPr>
          <w:rFonts w:hint="eastAsia"/>
          <w:lang w:val="en-US" w:eastAsia="zh-CN"/>
        </w:rPr>
        <w:t>运输</w:t>
      </w:r>
      <w:bookmarkEnd w:id="42"/>
      <w:bookmarkEnd w:id="43"/>
    </w:p>
    <w:p>
      <w:pPr>
        <w:pStyle w:val="23"/>
        <w:rPr>
          <w:rFonts w:hint="default"/>
          <w:lang w:val="en-US" w:eastAsia="zh-CN"/>
        </w:rPr>
      </w:pPr>
      <w:r>
        <w:rPr>
          <w:rFonts w:hint="eastAsia"/>
          <w:lang w:eastAsia="zh-CN"/>
        </w:rPr>
        <w:t>运输工具</w:t>
      </w:r>
      <w:r>
        <w:rPr>
          <w:rFonts w:hint="eastAsia"/>
          <w:lang w:val="en-US" w:eastAsia="zh-CN"/>
        </w:rPr>
        <w:t>应</w:t>
      </w:r>
      <w:r>
        <w:rPr>
          <w:rFonts w:hint="eastAsia"/>
          <w:lang w:eastAsia="zh-CN"/>
        </w:rPr>
        <w:t>清洁、</w:t>
      </w:r>
      <w:r>
        <w:rPr>
          <w:rFonts w:hint="eastAsia"/>
          <w:lang w:val="en-US" w:eastAsia="zh-CN"/>
        </w:rPr>
        <w:t>干燥、无异味</w:t>
      </w:r>
      <w:r>
        <w:rPr>
          <w:rFonts w:hint="eastAsia"/>
          <w:lang w:eastAsia="zh-CN"/>
        </w:rPr>
        <w:t>。</w:t>
      </w:r>
      <w:r>
        <w:rPr>
          <w:rFonts w:hint="eastAsia"/>
          <w:lang w:val="en-US" w:eastAsia="zh-CN"/>
        </w:rPr>
        <w:t>运输过程中应轻装、轻卸，避免日晒、雨淋，防止发生挤压、撞击。严禁与有毒、有害、有异味、易污染物品混装、混运。</w:t>
      </w:r>
    </w:p>
    <w:p>
      <w:pPr>
        <w:pStyle w:val="71"/>
        <w:bidi w:val="0"/>
        <w:rPr>
          <w:rFonts w:hint="default"/>
          <w:highlight w:val="none"/>
          <w:lang w:val="en-US" w:eastAsia="zh-CN"/>
        </w:rPr>
      </w:pPr>
      <w:bookmarkStart w:id="44" w:name="_Toc5762"/>
      <w:bookmarkStart w:id="45" w:name="_Toc11741"/>
      <w:r>
        <w:rPr>
          <w:rFonts w:hint="eastAsia"/>
          <w:highlight w:val="none"/>
          <w:lang w:val="en-US" w:eastAsia="zh-CN"/>
        </w:rPr>
        <w:t>贮存</w:t>
      </w:r>
      <w:bookmarkEnd w:id="44"/>
      <w:bookmarkEnd w:id="45"/>
    </w:p>
    <w:p>
      <w:pPr>
        <w:pStyle w:val="72"/>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贮存环境应清洁卫生、干燥防潮、阴凉通风。严禁与有毒、有异味和易于传播虫害的物品混合存放，防止虫害、鼠害。保质期24个月。</w:t>
      </w:r>
    </w:p>
    <w:p>
      <w:pPr>
        <w:pStyle w:val="23"/>
        <w:rPr>
          <w:rFonts w:hint="default"/>
          <w:lang w:val="en-US" w:eastAsia="zh-CN"/>
        </w:rPr>
      </w:pPr>
    </w:p>
    <w:p>
      <w:pPr>
        <w:pStyle w:val="23"/>
        <w:rPr>
          <w:rFonts w:hint="eastAsia"/>
          <w:lang w:val="en-US" w:eastAsia="zh-CN"/>
        </w:rPr>
      </w:pPr>
    </w:p>
    <w:p>
      <w:bookmarkStart w:id="46" w:name="EndLine"/>
      <w:r>
        <w:br w:type="page"/>
      </w:r>
      <w:bookmarkStart w:id="47" w:name="BKFL"/>
    </w:p>
    <w:p>
      <w:pPr>
        <w:pStyle w:val="97"/>
        <w:bidi w:val="0"/>
      </w:pPr>
    </w:p>
    <w:p>
      <w:pPr>
        <w:pStyle w:val="99"/>
        <w:bidi w:val="0"/>
      </w:pPr>
    </w:p>
    <w:p>
      <w:pPr>
        <w:pStyle w:val="86"/>
        <w:bidi w:val="0"/>
      </w:pPr>
      <w:r>
        <w:br w:type="textWrapping"/>
      </w:r>
      <w:r>
        <w:rPr>
          <w:rFonts w:hint="eastAsia"/>
          <w:lang w:eastAsia="zh-CN"/>
        </w:rPr>
        <w:t>（规范性）</w:t>
      </w:r>
      <w:r>
        <w:rPr>
          <w:rFonts w:hint="eastAsia"/>
          <w:lang w:eastAsia="zh-CN"/>
        </w:rPr>
        <w:br w:type="textWrapping"/>
      </w:r>
      <w:r>
        <w:rPr>
          <w:rFonts w:hint="eastAsia"/>
          <w:lang w:eastAsia="zh-CN"/>
        </w:rPr>
        <w:t>附录A桓仁蛤蟆油地理标志产品保护范围图</w:t>
      </w:r>
    </w:p>
    <w:p>
      <w:pPr>
        <w:pStyle w:val="23"/>
        <w:rPr>
          <w:rFonts w:hint="eastAsia"/>
          <w:lang w:eastAsia="zh-CN"/>
        </w:rPr>
      </w:pPr>
      <w:r>
        <w:rPr>
          <w:rFonts w:hint="eastAsia" w:hAnsi="宋体" w:cs="宋体"/>
        </w:rPr>
        <w:t>桓仁</w:t>
      </w:r>
      <w:r>
        <w:rPr>
          <w:rFonts w:hint="eastAsia" w:hAnsi="宋体" w:cs="宋体"/>
          <w:lang w:val="en-US" w:eastAsia="zh-CN"/>
        </w:rPr>
        <w:t>蛤蟆油</w:t>
      </w:r>
      <w:r>
        <w:rPr>
          <w:rFonts w:hint="eastAsia" w:hAnsi="宋体" w:cs="宋体"/>
        </w:rPr>
        <w:t>地理标志产品保护范围见图A.1。</w:t>
      </w:r>
    </w:p>
    <w:p>
      <w:pPr>
        <w:pStyle w:val="23"/>
        <w:ind w:left="0" w:leftChars="0" w:firstLine="0" w:firstLineChars="0"/>
        <w:rPr>
          <w:rFonts w:hint="eastAsia" w:eastAsia="宋体"/>
          <w:lang w:eastAsia="zh-CN"/>
        </w:rPr>
      </w:pPr>
      <w:r>
        <w:rPr>
          <w:rFonts w:hint="eastAsia" w:eastAsia="宋体"/>
          <w:lang w:eastAsia="zh-CN"/>
        </w:rPr>
        <w:drawing>
          <wp:inline distT="0" distB="0" distL="114300" distR="114300">
            <wp:extent cx="5917565" cy="4838065"/>
            <wp:effectExtent l="0" t="0" r="6985" b="635"/>
            <wp:docPr id="3" name="图片 3" descr="093cfe5982035a0c23805c90d50ebb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93cfe5982035a0c23805c90d50ebbe"/>
                    <pic:cNvPicPr>
                      <a:picLocks noChangeAspect="true"/>
                    </pic:cNvPicPr>
                  </pic:nvPicPr>
                  <pic:blipFill>
                    <a:blip r:embed="rId7"/>
                    <a:stretch>
                      <a:fillRect/>
                    </a:stretch>
                  </pic:blipFill>
                  <pic:spPr>
                    <a:xfrm>
                      <a:off x="0" y="0"/>
                      <a:ext cx="5917565" cy="4838065"/>
                    </a:xfrm>
                    <a:prstGeom prst="rect">
                      <a:avLst/>
                    </a:prstGeom>
                  </pic:spPr>
                </pic:pic>
              </a:graphicData>
            </a:graphic>
          </wp:inline>
        </w:drawing>
      </w:r>
    </w:p>
    <w:p>
      <w:pPr>
        <w:pStyle w:val="106"/>
        <w:bidi w:val="0"/>
        <w:jc w:val="center"/>
        <w:rPr>
          <w:rFonts w:hint="default"/>
          <w:lang w:val="en-US" w:eastAsia="zh-CN"/>
        </w:rPr>
      </w:pPr>
      <w:r>
        <w:rPr>
          <w:rFonts w:hint="eastAsia"/>
          <w:lang w:val="en-US" w:eastAsia="zh-CN"/>
        </w:rPr>
        <w:t xml:space="preserve">图A.1 </w:t>
      </w:r>
      <w:r>
        <w:rPr>
          <w:rFonts w:hint="eastAsia" w:hAnsi="宋体" w:cs="宋体"/>
        </w:rPr>
        <w:t>桓仁</w:t>
      </w:r>
      <w:r>
        <w:rPr>
          <w:rFonts w:hint="eastAsia" w:cs="宋体"/>
          <w:lang w:val="en-US" w:eastAsia="zh-CN"/>
        </w:rPr>
        <w:t>蛤蟆油</w:t>
      </w:r>
      <w:r>
        <w:rPr>
          <w:rFonts w:hint="eastAsia" w:hAnsi="宋体" w:cs="宋体"/>
        </w:rPr>
        <w:t>地理标志产品保护范围</w:t>
      </w:r>
      <w:r>
        <w:rPr>
          <w:rFonts w:hint="eastAsia" w:cs="宋体"/>
          <w:lang w:val="en-US" w:eastAsia="zh-CN"/>
        </w:rPr>
        <w:t>图</w:t>
      </w:r>
    </w:p>
    <w:p>
      <w:pPr>
        <w:pStyle w:val="106"/>
        <w:numPr>
          <w:ilvl w:val="0"/>
          <w:numId w:val="0"/>
        </w:numPr>
        <w:bidi w:val="0"/>
        <w:ind w:left="420" w:leftChars="0"/>
        <w:rPr>
          <w:rFonts w:hint="eastAsia"/>
          <w:lang w:eastAsia="zh-CN"/>
        </w:rPr>
      </w:pPr>
    </w:p>
    <w:p>
      <w:pPr>
        <w:pStyle w:val="23"/>
        <w:ind w:left="0" w:leftChars="0" w:firstLine="0" w:firstLineChars="0"/>
        <w:rPr>
          <w:rFonts w:hint="eastAsia"/>
          <w:lang w:eastAsia="zh-CN"/>
        </w:rPr>
      </w:pPr>
    </w:p>
    <w:p>
      <w:pPr>
        <w:pStyle w:val="110"/>
        <w:bidi w:val="0"/>
        <w:rPr>
          <w:rFonts w:hint="eastAsia"/>
          <w:lang w:val="en-US" w:eastAsia="zh-CN"/>
        </w:rPr>
      </w:pPr>
      <w:r>
        <w:rPr>
          <w:rFonts w:hint="eastAsia"/>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8"/>
                    <a:stretch>
                      <a:fillRect/>
                    </a:stretch>
                  </pic:blipFill>
                  <pic:spPr>
                    <a:xfrm>
                      <a:off x="0" y="0"/>
                      <a:ext cx="1485900" cy="317500"/>
                    </a:xfrm>
                    <a:prstGeom prst="rect">
                      <a:avLst/>
                    </a:prstGeom>
                  </pic:spPr>
                </pic:pic>
              </a:graphicData>
            </a:graphic>
          </wp:inline>
        </w:drawing>
      </w:r>
      <w:bookmarkEnd w:id="46"/>
      <w:bookmarkEnd w:id="47"/>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西文正文">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eastAsia="zh-CN"/>
      </w:rPr>
    </w:pPr>
    <w:r>
      <w:rPr>
        <w:rFonts w:hint="eastAsia"/>
        <w:lang w:eastAsia="zh-CN"/>
      </w:rPr>
      <w:t>DB2105/T 0</w:t>
    </w:r>
    <w:r>
      <w:rPr>
        <w:rFonts w:hint="eastAsia"/>
        <w:lang w:val="en-US" w:eastAsia="zh-CN"/>
      </w:rPr>
      <w:t>12</w:t>
    </w:r>
    <w:r>
      <w:rPr>
        <w:rFonts w:hint="eastAsia"/>
        <w:lang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973A5"/>
    <w:multiLevelType w:val="multilevel"/>
    <w:tmpl w:val="80E973A5"/>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4E76379"/>
    <w:multiLevelType w:val="multilevel"/>
    <w:tmpl w:val="84E76379"/>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EF57329"/>
    <w:multiLevelType w:val="multilevel"/>
    <w:tmpl w:val="9EF57329"/>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3">
    <w:nsid w:val="A1F03169"/>
    <w:multiLevelType w:val="multilevel"/>
    <w:tmpl w:val="A1F0316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BAD52B62"/>
    <w:multiLevelType w:val="multilevel"/>
    <w:tmpl w:val="BAD52B62"/>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BCCBA4B0"/>
    <w:multiLevelType w:val="multilevel"/>
    <w:tmpl w:val="BCCBA4B0"/>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DA3557F1"/>
    <w:multiLevelType w:val="multilevel"/>
    <w:tmpl w:val="DA3557F1"/>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35F1D3C"/>
    <w:multiLevelType w:val="multilevel"/>
    <w:tmpl w:val="E35F1D3C"/>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75ACEC7"/>
    <w:multiLevelType w:val="multilevel"/>
    <w:tmpl w:val="F75ACEC7"/>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F7BA768F"/>
    <w:multiLevelType w:val="multilevel"/>
    <w:tmpl w:val="F7BA768F"/>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133D5C5C"/>
    <w:multiLevelType w:val="multilevel"/>
    <w:tmpl w:val="133D5C5C"/>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1">
    <w:nsid w:val="21306357"/>
    <w:multiLevelType w:val="multilevel"/>
    <w:tmpl w:val="2130635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2F9E12AD"/>
    <w:multiLevelType w:val="multilevel"/>
    <w:tmpl w:val="2F9E12AD"/>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38E056FD"/>
    <w:multiLevelType w:val="multilevel"/>
    <w:tmpl w:val="38E056FD"/>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55EA68B9"/>
    <w:multiLevelType w:val="multilevel"/>
    <w:tmpl w:val="55EA68B9"/>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1B5447E"/>
    <w:multiLevelType w:val="multilevel"/>
    <w:tmpl w:val="61B5447E"/>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5AAFCF5"/>
    <w:multiLevelType w:val="multilevel"/>
    <w:tmpl w:val="65AAFCF5"/>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5"/>
  </w:num>
  <w:num w:numId="4">
    <w:abstractNumId w:val="4"/>
  </w:num>
  <w:num w:numId="5">
    <w:abstractNumId w:val="13"/>
  </w:num>
  <w:num w:numId="6">
    <w:abstractNumId w:val="12"/>
  </w:num>
  <w:num w:numId="7">
    <w:abstractNumId w:val="5"/>
  </w:num>
  <w:num w:numId="8">
    <w:abstractNumId w:val="1"/>
  </w:num>
  <w:num w:numId="9">
    <w:abstractNumId w:val="8"/>
  </w:num>
  <w:num w:numId="10">
    <w:abstractNumId w:val="11"/>
  </w:num>
  <w:num w:numId="11">
    <w:abstractNumId w:val="16"/>
  </w:num>
  <w:num w:numId="12">
    <w:abstractNumId w:val="0"/>
  </w:num>
  <w:num w:numId="13">
    <w:abstractNumId w:val="7"/>
  </w:num>
  <w:num w:numId="14">
    <w:abstractNumId w:val="9"/>
  </w:num>
  <w:num w:numId="15">
    <w:abstractNumId w:val="6"/>
  </w:num>
  <w:num w:numId="16">
    <w:abstractNumId w:val="1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34C32740"/>
    <w:rsid w:val="024028F1"/>
    <w:rsid w:val="0628019F"/>
    <w:rsid w:val="06526747"/>
    <w:rsid w:val="0CD31ABA"/>
    <w:rsid w:val="0F3F0507"/>
    <w:rsid w:val="13116BD7"/>
    <w:rsid w:val="13655874"/>
    <w:rsid w:val="161B7335"/>
    <w:rsid w:val="17F76641"/>
    <w:rsid w:val="1B0677F0"/>
    <w:rsid w:val="3099071F"/>
    <w:rsid w:val="34C32740"/>
    <w:rsid w:val="35684F74"/>
    <w:rsid w:val="381833E1"/>
    <w:rsid w:val="3B7B68D3"/>
    <w:rsid w:val="3FA7B8B6"/>
    <w:rsid w:val="3FFFDCC1"/>
    <w:rsid w:val="4012322E"/>
    <w:rsid w:val="41C2018E"/>
    <w:rsid w:val="42C50931"/>
    <w:rsid w:val="43790020"/>
    <w:rsid w:val="46EF4F01"/>
    <w:rsid w:val="47F63C0B"/>
    <w:rsid w:val="48EE514D"/>
    <w:rsid w:val="4C9159FA"/>
    <w:rsid w:val="4DBE6C0D"/>
    <w:rsid w:val="50463097"/>
    <w:rsid w:val="53C04E4C"/>
    <w:rsid w:val="594F638F"/>
    <w:rsid w:val="5B5E55A8"/>
    <w:rsid w:val="5FE61EDC"/>
    <w:rsid w:val="62217ADA"/>
    <w:rsid w:val="62DA32E5"/>
    <w:rsid w:val="733C137B"/>
    <w:rsid w:val="7671125F"/>
    <w:rsid w:val="77866229"/>
    <w:rsid w:val="79F33E65"/>
    <w:rsid w:val="7FFFC930"/>
    <w:rsid w:val="D783F702"/>
    <w:rsid w:val="DFCF55C1"/>
    <w:rsid w:val="EF4792CE"/>
    <w:rsid w:val="F7FB8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章标题"/>
    <w:next w:val="120"/>
    <w:qFormat/>
    <w:uiPriority w:val="2441"/>
    <w:pPr>
      <w:numPr>
        <w:ilvl w:val="1"/>
        <w:numId w:val="18"/>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e48f62-cf65-47d1-b138-6b04d3c6e603}"/>
        <w:style w:val=""/>
        <w:category>
          <w:name w:val="常规"/>
          <w:gallery w:val="placeholder"/>
        </w:category>
        <w:types>
          <w:type w:val="bbPlcHdr"/>
        </w:types>
        <w:behaviors>
          <w:behavior w:val="content"/>
        </w:behaviors>
        <w:description w:val=""/>
        <w:guid w:val="{fce48f62-cf65-47d1-b138-6b04d3c6e603}"/>
      </w:docPartPr>
      <w:docPartBody>
        <w:p>
          <w:r>
            <w:rPr>
              <w:color w:val="808080"/>
            </w:rPr>
            <w:t>选择一项。</w:t>
          </w:r>
        </w:p>
      </w:docPartBody>
    </w:docPart>
    <w:docPart>
      <w:docPartPr>
        <w:name w:val="{9f8215c3-b144-4aac-b01f-96afd33d4f3c}"/>
        <w:style w:val=""/>
        <w:category>
          <w:name w:val="常规"/>
          <w:gallery w:val="placeholder"/>
        </w:category>
        <w:types>
          <w:type w:val="bbPlcHdr"/>
        </w:types>
        <w:behaviors>
          <w:behavior w:val="content"/>
        </w:behaviors>
        <w:description w:val=""/>
        <w:guid w:val="{9f8215c3-b144-4aac-b01f-96afd33d4f3c}"/>
      </w:docPartPr>
      <w:docPartBody>
        <w:p>
          <w:r>
            <w:rPr>
              <w:color w:val="808080"/>
            </w:rPr>
            <w:t>选择一项。</w:t>
          </w:r>
        </w:p>
      </w:docPartBody>
    </w:docPart>
    <w:docPart>
      <w:docPartPr>
        <w:name w:val="{8ce9ba6f-b403-4ab5-915a-7e847c333999}"/>
        <w:style w:val=""/>
        <w:category>
          <w:name w:val="常规"/>
          <w:gallery w:val="placeholder"/>
        </w:category>
        <w:types>
          <w:type w:val="bbPlcHdr"/>
        </w:types>
        <w:behaviors>
          <w:behavior w:val="content"/>
        </w:behaviors>
        <w:description w:val=""/>
        <w:guid w:val="{8ce9ba6f-b403-4ab5-915a-7e847c33399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2023-09-12T14:20:00Z</dcterms:created>
  <dc:creator>蔡明</dc:creator>
  <cp:lastModifiedBy>user</cp:lastModifiedBy>
  <cp:lastPrinted>2023-10-23T08:52:00Z</cp:lastPrinted>
  <dcterms:modified xsi:type="dcterms:W3CDTF">2023-11-27T12:38:23Z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70936A888F834758BD6818DF9BCCE566_13</vt:lpwstr>
  </property>
</Properties>
</file>