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bookmarkStart w:id="0" w:name="DBMark2"/>
      <w:bookmarkStart w:id="1" w:name="_Toc63"/>
      <w:r>
        <w:rPr>
          <w:rFonts w:hint="eastAsia" w:ascii="黑体" w:hAnsi="Times New Roman" w:eastAsia="黑体" w:cs="Times New Roman"/>
          <w:sz w:val="48"/>
          <w:lang w:val="en-US" w:eastAsia="zh-CN"/>
        </w:rPr>
        <w:fldChar w:fldCharType="begin">
          <w:ffData>
            <w:name w:val="DBMark2"/>
            <w:enabled/>
            <w:calcOnExit w:val="0"/>
            <w:textInput>
              <w:default w:val="本溪市"/>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本溪市</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pPr>
        <w:pStyle w:val="40"/>
        <w:bidi w:val="0"/>
        <w:rPr>
          <w:rFonts w:hint="eastAsia"/>
          <w:lang w:val="en-US" w:eastAsia="zh-CN"/>
        </w:rPr>
      </w:pPr>
      <w:r>
        <w:rPr>
          <w:rFonts w:hint="eastAsia"/>
          <w:lang w:val="en-US" w:eastAsia="zh-CN"/>
        </w:rPr>
        <w:fldChar w:fldCharType="begin">
          <w:ffData>
            <w:name w:val="StandNo"/>
            <w:enabled/>
            <w:calcOnExit w:val="0"/>
            <w:textInput>
              <w:default w:val="DB2105/T 002—2023"/>
            </w:textInput>
          </w:ffData>
        </w:fldChar>
      </w:r>
      <w:bookmarkStart w:id="2"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DB2105/T 010—2023</w:t>
      </w:r>
      <w:r>
        <w:rPr>
          <w:rFonts w:hint="eastAsia"/>
          <w:lang w:val="en-US" w:eastAsia="zh-CN"/>
        </w:rPr>
        <w:fldChar w:fldCharType="end"/>
      </w:r>
      <w:bookmarkEnd w:id="2"/>
    </w:p>
    <w:p>
      <w:pPr>
        <w:pStyle w:val="39"/>
        <w:bidi w:val="0"/>
        <w:jc w:val="center"/>
        <w:rPr>
          <w:rFonts w:hint="eastAsia"/>
          <w:lang w:val="en-US" w:eastAsia="zh-CN"/>
        </w:rPr>
      </w:pPr>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4"/>
              <w:widowControl w:val="0"/>
              <w:bidi w:val="0"/>
              <w:jc w:val="both"/>
              <w:rPr>
                <w:rFonts w:hint="eastAsia"/>
                <w:sz w:val="10"/>
                <w:vertAlign w:val="baseline"/>
                <w:lang w:val="en-US" w:eastAsia="zh-CN"/>
              </w:rPr>
            </w:pPr>
          </w:p>
        </w:tc>
      </w:tr>
    </w:tbl>
    <w:p>
      <w:pPr>
        <w:pStyle w:val="41"/>
        <w:bidi w:val="0"/>
        <w:rPr>
          <w:rFonts w:hint="eastAsia"/>
          <w:lang w:val="en-US" w:eastAsia="zh-CN"/>
        </w:rPr>
      </w:pPr>
      <w:r>
        <w:rPr>
          <w:rFonts w:hint="eastAsia"/>
          <w:lang w:val="en-US" w:eastAsia="zh-CN"/>
        </w:rPr>
        <w:fldChar w:fldCharType="begin">
          <w:ffData>
            <w:name w:val="StdName"/>
            <w:enabled/>
            <w:calcOnExit w:val="0"/>
            <w:textInput>
              <w:default w:val="地理标志产品 桓仁红松籽"/>
            </w:textInput>
          </w:ffData>
        </w:fldChar>
      </w:r>
      <w:bookmarkStart w:id="3" w:name="StdName"/>
      <w:r>
        <w:rPr>
          <w:rFonts w:hint="eastAsia"/>
          <w:lang w:val="en-US" w:eastAsia="zh-CN"/>
        </w:rPr>
        <w:instrText xml:space="preserve">FORMTEXT</w:instrText>
      </w:r>
      <w:r>
        <w:rPr>
          <w:rFonts w:hint="eastAsia"/>
          <w:lang w:val="en-US" w:eastAsia="zh-CN"/>
        </w:rPr>
        <w:fldChar w:fldCharType="separate"/>
      </w:r>
      <w:r>
        <w:rPr>
          <w:rFonts w:hint="eastAsia"/>
          <w:lang w:val="en-US" w:eastAsia="zh-CN"/>
        </w:rPr>
        <w:t>地理标志产品 桓仁红松籽</w:t>
      </w:r>
      <w:r>
        <w:rPr>
          <w:rFonts w:hint="eastAsia"/>
          <w:lang w:val="en-US" w:eastAsia="zh-CN"/>
        </w:rPr>
        <w:fldChar w:fldCharType="end"/>
      </w:r>
      <w:bookmarkEnd w:id="3"/>
    </w:p>
    <w:p>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Product of geographical indication Huanren Pine nut of Pinus koraiensis"/>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Product of geographical indication </w:t>
      </w:r>
      <w:r>
        <w:rPr>
          <w:rFonts w:hint="eastAsia" w:cs="Times New Roman"/>
          <w:sz w:val="28"/>
          <w:lang w:val="en-US" w:eastAsia="zh-CN"/>
        </w:rPr>
        <w:t>——</w:t>
      </w:r>
      <w:r>
        <w:rPr>
          <w:rFonts w:hint="eastAsia" w:ascii="Times New Roman" w:hAnsi="Times New Roman" w:eastAsia="黑体" w:cs="Times New Roman"/>
          <w:sz w:val="28"/>
          <w:lang w:val="en-US" w:eastAsia="zh-CN"/>
        </w:rPr>
        <w:t>Huanren Pine nut of Pinus koraiensis</w:t>
      </w:r>
      <w:r>
        <w:rPr>
          <w:rFonts w:hint="eastAsia" w:ascii="Times New Roman" w:hAnsi="Times New Roman" w:eastAsia="黑体" w:cs="Times New Roman"/>
          <w:sz w:val="28"/>
          <w:lang w:val="en-US" w:eastAsia="zh-CN"/>
        </w:rPr>
        <w:fldChar w:fldCharType="end"/>
      </w:r>
      <w:bookmarkEnd w:id="4"/>
    </w:p>
    <w:p>
      <w:pPr>
        <w:pStyle w:val="44"/>
        <w:bidi w:val="0"/>
        <w:spacing w:after="0"/>
        <w:jc w:val="both"/>
        <w:rPr>
          <w:rFonts w:hint="eastAsia"/>
          <w:lang w:val="en-US" w:eastAsia="zh-CN"/>
        </w:rPr>
      </w:pPr>
    </w:p>
    <w:p>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5"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5"/>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38"/>
              <w:widowControl w:val="0"/>
              <w:bidi w:val="0"/>
              <w:jc w:val="both"/>
              <w:rPr>
                <w:rFonts w:hint="eastAsia"/>
                <w:vertAlign w:val="baseline"/>
                <w:lang w:val="en-US" w:eastAsia="zh-CN"/>
              </w:rPr>
            </w:pPr>
            <w:r>
              <w:rPr>
                <w:rFonts w:hint="eastAsia"/>
                <w:vertAlign w:val="baseline"/>
                <w:lang w:val="en-US" w:eastAsia="zh-CN"/>
              </w:rPr>
              <w:t>2023- 11 - 25 发布</w:t>
            </w:r>
          </w:p>
        </w:tc>
        <w:tc>
          <w:tcPr>
            <w:tcW w:w="4945" w:type="dxa"/>
            <w:tcBorders>
              <w:bottom w:val="single" w:color="auto" w:sz="8" w:space="0"/>
            </w:tcBorders>
            <w:tcMar>
              <w:right w:w="57" w:type="dxa"/>
            </w:tcMar>
          </w:tcPr>
          <w:p>
            <w:pPr>
              <w:pStyle w:val="38"/>
              <w:widowControl w:val="0"/>
              <w:bidi w:val="0"/>
              <w:jc w:val="right"/>
              <w:rPr>
                <w:rFonts w:hint="eastAsia"/>
                <w:vertAlign w:val="baseline"/>
                <w:lang w:val="en-US" w:eastAsia="zh-CN"/>
              </w:rPr>
            </w:pPr>
            <w:r>
              <w:rPr>
                <w:rFonts w:hint="eastAsia"/>
                <w:vertAlign w:val="baseline"/>
                <w:lang w:val="en-US" w:eastAsia="zh-CN"/>
              </w:rPr>
              <w:t>2023 - 12 - 25实施</w:t>
            </w:r>
          </w:p>
        </w:tc>
      </w:tr>
    </w:tbl>
    <w:p>
      <w:pPr>
        <w:pStyle w:val="48"/>
        <w:bidi w:val="0"/>
        <w:spacing w:before="0"/>
        <w:rPr>
          <w:rFonts w:hint="eastAsia"/>
          <w:spacing w:val="0"/>
          <w:w w:val="100"/>
          <w:sz w:val="28"/>
          <w:lang w:val="en-US" w:eastAsia="zh-CN"/>
        </w:rPr>
      </w:pPr>
      <w:bookmarkStart w:id="6" w:name="FM2"/>
      <w:r>
        <w:rPr>
          <w:rFonts w:hint="eastAsia" w:ascii="黑体" w:hAnsi="黑体" w:eastAsia="黑体" w:cs="Times New Roman"/>
          <w:spacing w:val="0"/>
          <w:w w:val="100"/>
          <w:sz w:val="32"/>
          <w:szCs w:val="32"/>
          <w:lang w:val="en-US" w:eastAsia="zh-CN"/>
        </w:rPr>
        <w:fldChar w:fldCharType="begin">
          <w:ffData>
            <w:name w:val="FM2"/>
            <w:enabled/>
            <w:calcOnExit w:val="0"/>
            <w:textInput>
              <w:default w:val="本溪市市场监督管理局"/>
            </w:textInput>
          </w:ffData>
        </w:fldChar>
      </w:r>
      <w:r>
        <w:rPr>
          <w:rFonts w:hint="eastAsia" w:ascii="黑体" w:hAnsi="黑体" w:eastAsia="黑体" w:cs="Times New Roman"/>
          <w:spacing w:val="0"/>
          <w:w w:val="100"/>
          <w:sz w:val="32"/>
          <w:szCs w:val="32"/>
          <w:lang w:val="en-US" w:eastAsia="zh-CN"/>
        </w:rPr>
        <w:instrText xml:space="preserve">FORMTEXT</w:instrText>
      </w:r>
      <w:r>
        <w:rPr>
          <w:rFonts w:hint="eastAsia" w:ascii="黑体" w:hAnsi="黑体" w:eastAsia="黑体" w:cs="Times New Roman"/>
          <w:spacing w:val="0"/>
          <w:w w:val="100"/>
          <w:sz w:val="32"/>
          <w:szCs w:val="32"/>
          <w:lang w:val="en-US" w:eastAsia="zh-CN"/>
        </w:rPr>
        <w:fldChar w:fldCharType="separate"/>
      </w:r>
      <w:r>
        <w:rPr>
          <w:rFonts w:hint="eastAsia" w:ascii="黑体" w:hAnsi="黑体" w:eastAsia="黑体" w:cs="Times New Roman"/>
          <w:spacing w:val="0"/>
          <w:w w:val="100"/>
          <w:sz w:val="32"/>
          <w:szCs w:val="32"/>
          <w:lang w:val="en-US" w:eastAsia="zh-CN"/>
        </w:rPr>
        <w:t>本溪市市场监督管理局</w:t>
      </w:r>
      <w:r>
        <w:rPr>
          <w:rFonts w:hint="eastAsia" w:ascii="黑体" w:hAnsi="黑体" w:eastAsia="黑体" w:cs="Times New Roman"/>
          <w:spacing w:val="0"/>
          <w:w w:val="100"/>
          <w:sz w:val="32"/>
          <w:szCs w:val="32"/>
          <w:lang w:val="en-US" w:eastAsia="zh-CN"/>
        </w:rPr>
        <w:fldChar w:fldCharType="end"/>
      </w:r>
      <w:bookmarkEnd w:id="6"/>
      <w:r>
        <w:rPr>
          <w:rFonts w:hint="eastAsia"/>
          <w:sz w:val="32"/>
          <w:szCs w:val="32"/>
          <w:lang w:val="en-US" w:eastAsia="zh-CN"/>
        </w:rPr>
        <w:t> </w:t>
      </w:r>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pPr>
              <w:pStyle w:val="52"/>
              <w:framePr w:w="9639"/>
              <w:bidi w:val="0"/>
              <w:jc w:val="both"/>
              <w:rPr>
                <w:rFonts w:hint="eastAsia"/>
                <w:vertAlign w:val="baseline"/>
                <w:lang w:val="en-US" w:eastAsia="zh-CN"/>
              </w:rPr>
            </w:pPr>
            <w:bookmarkStart w:id="7"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pPr>
              <w:pStyle w:val="52"/>
              <w:framePr w:w="9639"/>
              <w:bidi w:val="0"/>
              <w:jc w:val="both"/>
              <w:rPr>
                <w:rFonts w:hint="default"/>
                <w:vertAlign w:val="baseline"/>
                <w:lang w:val="en-US" w:eastAsia="zh-CN"/>
              </w:rPr>
            </w:pPr>
            <w:r>
              <w:rPr>
                <w:rFonts w:hint="eastAsia"/>
                <w:vertAlign w:val="baseline"/>
                <w:lang w:val="en-US" w:eastAsia="zh-CN"/>
              </w:rPr>
              <w:t>X24</w:t>
            </w:r>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9525" b="12065"/>
                        <wp:docPr id="3" name="图片 3" descr="地标"/>
                        <wp:cNvGraphicFramePr/>
                        <a:graphic xmlns:a="http://schemas.openxmlformats.org/drawingml/2006/main">
                          <a:graphicData uri="http://schemas.openxmlformats.org/drawingml/2006/picture">
                            <pic:pic xmlns:pic="http://schemas.openxmlformats.org/drawingml/2006/picture">
                              <pic:nvPicPr>
                                <pic:cNvPr id="3" name="图片 3"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8"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210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2105</w:t>
                  </w:r>
                  <w:r>
                    <w:rPr>
                      <w:rFonts w:hint="eastAsia" w:ascii="Times New Roman" w:hAnsi="Times New Roman" w:eastAsia="宋体" w:cs="Times New Roman"/>
                      <w:b/>
                      <w:w w:val="130"/>
                      <w:kern w:val="0"/>
                      <w:sz w:val="96"/>
                      <w:vertAlign w:val="baseline"/>
                      <w:lang w:val="en-US" w:eastAsia="zh-CN"/>
                    </w:rPr>
                    <w:fldChar w:fldCharType="end"/>
                  </w:r>
                  <w:bookmarkEnd w:id="8"/>
                </w:p>
              </w:tc>
            </w:tr>
          </w:tbl>
          <w:p>
            <w:pPr>
              <w:pStyle w:val="52"/>
              <w:framePr w:w="9639"/>
              <w:bidi w:val="0"/>
              <w:jc w:val="both"/>
              <w:rPr>
                <w:rFonts w:hint="eastAsia"/>
                <w:vertAlign w:val="baseline"/>
                <w:lang w:val="en-US" w:eastAsia="zh-CN"/>
              </w:rPr>
            </w:pPr>
          </w:p>
        </w:tc>
      </w:tr>
    </w:tbl>
    <w:p>
      <w:pPr>
        <w:pStyle w:val="52"/>
        <w:framePr w:w="9639"/>
        <w:bidi w:val="0"/>
        <w:rPr>
          <w:rFonts w:hint="eastAsia"/>
          <w:lang w:val="en-US" w:eastAsia="zh-CN"/>
        </w:rPr>
        <w:sectPr>
          <w:pgSz w:w="11906" w:h="16838"/>
          <w:pgMar w:top="-340" w:right="1134" w:bottom="1021" w:left="1134" w:header="0" w:footer="0" w:gutter="284"/>
          <w:lnNumType w:countBy="0" w:restart="continuous"/>
          <w:pgNumType w:fmt="upperRoman" w:start="1"/>
          <w:cols w:space="425" w:num="1"/>
          <w:formProt w:val="1"/>
          <w:titlePg/>
          <w:docGrid w:type="lines" w:linePitch="312" w:charSpace="0"/>
        </w:sectPr>
      </w:pPr>
    </w:p>
    <w:p>
      <w:pPr>
        <w:pStyle w:val="54"/>
        <w:bidi w:val="0"/>
        <w:rPr>
          <w:rFonts w:hint="eastAsia"/>
          <w:lang w:val="en-US" w:eastAsia="zh-CN"/>
        </w:rPr>
      </w:pPr>
      <w:r>
        <w:rPr>
          <w:rFonts w:hint="eastAsia"/>
          <w:spacing w:val="317"/>
          <w:lang w:val="en-US" w:eastAsia="zh-CN"/>
        </w:rPr>
        <w:t>前</w:t>
      </w:r>
      <w:bookmarkStart w:id="9" w:name="BKQY"/>
      <w:r>
        <w:rPr>
          <w:rFonts w:hint="eastAsia"/>
          <w:lang w:val="en-US" w:eastAsia="zh-CN"/>
        </w:rPr>
        <w:t>言</w:t>
      </w:r>
      <w:bookmarkEnd w:id="1"/>
    </w:p>
    <w:p>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24"/>
        <w:bidi w:val="0"/>
        <w:rPr>
          <w:rFonts w:hint="eastAsia"/>
          <w:lang w:val="en-US" w:eastAsia="zh-CN"/>
        </w:rPr>
      </w:pPr>
      <w:r>
        <w:rPr>
          <w:rFonts w:hint="eastAsia"/>
          <w:lang w:val="en-US" w:eastAsia="zh-CN"/>
        </w:rPr>
        <w:t>本文件根据GB/T 17924-2008《地理标志产品标准通用要求》及原国家质量监督检验检疫总局颁布的《地理标志产品保护规定》制定。</w:t>
      </w:r>
    </w:p>
    <w:p>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pPr>
        <w:pStyle w:val="24"/>
        <w:bidi w:val="0"/>
        <w:rPr>
          <w:rFonts w:hint="eastAsia"/>
          <w:lang w:val="en-US" w:eastAsia="zh-CN"/>
        </w:rPr>
      </w:pPr>
      <w:r>
        <w:rPr>
          <w:rFonts w:hint="eastAsia"/>
          <w:lang w:val="en-US" w:eastAsia="zh-CN"/>
        </w:rPr>
        <w:t>本文件由本溪市林业和草原局提出并归口。</w:t>
      </w:r>
    </w:p>
    <w:p>
      <w:pPr>
        <w:pStyle w:val="24"/>
        <w:ind w:firstLine="420"/>
        <w:rPr>
          <w:rFonts w:hint="eastAsia"/>
          <w:lang w:val="en-US" w:eastAsia="zh-CN"/>
        </w:rPr>
      </w:pPr>
      <w:r>
        <w:rPr>
          <w:rFonts w:hint="eastAsia"/>
          <w:lang w:val="en-US" w:eastAsia="zh-CN"/>
        </w:rPr>
        <w:t>本文件起草单位：</w:t>
      </w:r>
      <w:r>
        <w:rPr>
          <w:rFonts w:hint="eastAsia"/>
        </w:rPr>
        <w:t>桓仁满族自治县检验检测服务中心、辽宁晟宇检验检测有限公司（辽宁省参茸产品质量检验中心）。</w:t>
      </w:r>
    </w:p>
    <w:p>
      <w:pPr>
        <w:pStyle w:val="24"/>
        <w:bidi w:val="0"/>
        <w:rPr>
          <w:rFonts w:hint="eastAsia"/>
          <w:lang w:val="en-US" w:eastAsia="zh-CN"/>
        </w:rPr>
      </w:pPr>
      <w:r>
        <w:rPr>
          <w:rFonts w:hint="eastAsia"/>
          <w:lang w:val="en-US" w:eastAsia="zh-CN"/>
        </w:rPr>
        <w:t>本文件主要起草人：樊琳琳、吕威、裴立楠、王旭、李飞、尚福强、李昱、金洪艳、李欣航、孙阳、王彬、王国春、马晓雨、高源。</w:t>
      </w:r>
    </w:p>
    <w:p>
      <w:pPr>
        <w:pStyle w:val="24"/>
        <w:bidi w:val="0"/>
        <w:rPr>
          <w:rFonts w:hint="eastAsia"/>
          <w:lang w:val="en-US" w:eastAsia="zh-CN"/>
        </w:rPr>
      </w:pPr>
      <w:r>
        <w:rPr>
          <w:rFonts w:hint="eastAsia"/>
          <w:lang w:val="en-US" w:eastAsia="zh-CN"/>
        </w:rPr>
        <w:t>本文件发布实施后，任何单位和个人如有问题和意见建议，均可以通过来电和来函等方式进行反馈，我们将及时答复并认真处理，根据实际情况依法进行评估及复审。</w:t>
      </w:r>
    </w:p>
    <w:p>
      <w:pPr>
        <w:pStyle w:val="24"/>
        <w:ind w:firstLine="420"/>
        <w:rPr>
          <w:rFonts w:hint="eastAsia"/>
          <w:highlight w:val="none"/>
        </w:rPr>
      </w:pPr>
      <w:r>
        <w:rPr>
          <w:rFonts w:hint="eastAsia"/>
        </w:rPr>
        <w:t>归口管理部门联系方式：</w:t>
      </w:r>
      <w:r>
        <w:rPr>
          <w:rFonts w:hint="eastAsia"/>
          <w:highlight w:val="none"/>
          <w:lang w:val="en-US" w:eastAsia="zh-CN"/>
        </w:rPr>
        <w:t>本溪市</w:t>
      </w:r>
      <w:r>
        <w:rPr>
          <w:rFonts w:hint="eastAsia"/>
          <w:highlight w:val="none"/>
        </w:rPr>
        <w:t>林业和草原局（</w:t>
      </w:r>
      <w:r>
        <w:rPr>
          <w:rFonts w:hint="eastAsia"/>
          <w:highlight w:val="none"/>
          <w:lang w:val="en-US" w:eastAsia="zh-CN"/>
        </w:rPr>
        <w:t>本溪市平山区人民路31号</w:t>
      </w:r>
      <w:r>
        <w:rPr>
          <w:rFonts w:hint="eastAsia"/>
          <w:highlight w:val="none"/>
        </w:rPr>
        <w:t>），联系电话：024-</w:t>
      </w:r>
      <w:r>
        <w:rPr>
          <w:rFonts w:hint="eastAsia"/>
          <w:highlight w:val="none"/>
          <w:lang w:val="en-US" w:eastAsia="zh-CN"/>
        </w:rPr>
        <w:t>43560107</w:t>
      </w:r>
      <w:r>
        <w:rPr>
          <w:rFonts w:hint="eastAsia"/>
          <w:highlight w:val="none"/>
        </w:rPr>
        <w:t>。</w:t>
      </w:r>
    </w:p>
    <w:p>
      <w:pPr>
        <w:pStyle w:val="24"/>
        <w:bidi w:val="0"/>
        <w:rPr>
          <w:rFonts w:hint="eastAsia"/>
          <w:lang w:val="en-US" w:eastAsia="zh-CN"/>
        </w:rPr>
      </w:pPr>
      <w:r>
        <w:rPr>
          <w:rFonts w:hint="eastAsia"/>
          <w:highlight w:val="none"/>
        </w:rPr>
        <w:t>起草部门联系方式：</w:t>
      </w:r>
      <w:r>
        <w:rPr>
          <w:rFonts w:hint="eastAsia"/>
        </w:rPr>
        <w:t>桓仁满族自治县</w:t>
      </w:r>
      <w:r>
        <w:rPr>
          <w:rFonts w:hint="eastAsia"/>
          <w:lang w:val="en-US" w:eastAsia="zh-CN"/>
        </w:rPr>
        <w:t>市场监管事务</w:t>
      </w:r>
      <w:r>
        <w:rPr>
          <w:rFonts w:hint="eastAsia"/>
        </w:rPr>
        <w:t>服务中心（桓仁满族自治县五女山路46号），联系电话：024-48823443。</w:t>
      </w:r>
    </w:p>
    <w:p>
      <w:pPr>
        <w:pStyle w:val="24"/>
        <w:bidi w:val="0"/>
        <w:rPr>
          <w:rFonts w:hint="eastAsia"/>
          <w:lang w:val="en-US" w:eastAsia="zh-CN"/>
        </w:rPr>
      </w:pPr>
    </w:p>
    <w:bookmarkEnd w:id="9"/>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Fonts w:hint="eastAsia" w:ascii="黑体" w:hAnsi="黑体" w:eastAsia="黑体" w:cs="黑体"/>
          <w:kern w:val="2"/>
          <w:sz w:val="32"/>
          <w:szCs w:val="32"/>
          <w:lang w:val="en-US" w:eastAsia="zh-CN" w:bidi="ar-SA"/>
        </w:rPr>
        <w:tag w:val="StandardName"/>
        <w:id w:val="147457900"/>
        <w:lock w:val="sdtLocked"/>
        <w:placeholder>
          <w:docPart w:val="{b01565b4-2a96-44ca-86c3-811b839ca133}"/>
        </w:placeholder>
      </w:sdtPr>
      <w:sdtEndPr>
        <w:rPr>
          <w:rFonts w:hint="eastAsia" w:ascii="黑体" w:hAnsi="黑体" w:eastAsia="黑体" w:cs="黑体"/>
          <w:kern w:val="2"/>
          <w:sz w:val="32"/>
          <w:szCs w:val="32"/>
          <w:lang w:val="en-US" w:eastAsia="zh-CN" w:bidi="ar-SA"/>
        </w:rPr>
      </w:sdtEndPr>
      <w:sdtContent>
        <w:p>
          <w:pPr>
            <w:pStyle w:val="60"/>
            <w:bidi w:val="0"/>
            <w:rPr>
              <w:rStyle w:val="119"/>
              <w:rFonts w:hint="eastAsia"/>
              <w:lang w:val="en-US" w:eastAsia="zh-CN"/>
            </w:rPr>
          </w:pPr>
          <w:bookmarkStart w:id="10" w:name="StandardName"/>
          <w:r>
            <w:rPr>
              <w:rFonts w:hint="eastAsia" w:cs="黑体"/>
              <w:kern w:val="2"/>
              <w:sz w:val="32"/>
              <w:szCs w:val="32"/>
              <w:lang w:val="en-US" w:eastAsia="zh-CN" w:bidi="ar-SA"/>
            </w:rPr>
            <w:t>地理标志产品 桓仁红松籽</w:t>
          </w:r>
          <w:bookmarkEnd w:id="10"/>
        </w:p>
      </w:sdtContent>
    </w:sdt>
    <w:p>
      <w:pPr>
        <w:pStyle w:val="71"/>
        <w:bidi w:val="0"/>
        <w:rPr>
          <w:rStyle w:val="119"/>
          <w:rFonts w:hint="eastAsia"/>
          <w:lang w:val="en-US" w:eastAsia="zh-CN"/>
        </w:rPr>
      </w:pPr>
      <w:bookmarkStart w:id="11" w:name="_Toc6685"/>
      <w:r>
        <w:rPr>
          <w:rFonts w:hint="default"/>
          <w:lang w:val="en-US" w:eastAsia="zh-CN"/>
        </w:rPr>
        <w:t>范围</w:t>
      </w:r>
      <w:bookmarkEnd w:id="11"/>
    </w:p>
    <w:p>
      <w:pPr>
        <w:pStyle w:val="24"/>
        <w:ind w:firstLine="420"/>
        <w:rPr>
          <w:rFonts w:hint="eastAsia"/>
        </w:rPr>
      </w:pPr>
      <w:r>
        <w:rPr>
          <w:rFonts w:hint="eastAsia"/>
        </w:rPr>
        <w:t>本文件规定</w:t>
      </w:r>
      <w:r>
        <w:rPr>
          <w:rFonts w:hint="eastAsia"/>
          <w:lang w:eastAsia="zh-CN"/>
        </w:rPr>
        <w:t>地理标志产品</w:t>
      </w:r>
      <w:r>
        <w:rPr>
          <w:rFonts w:hint="eastAsia"/>
          <w:lang w:val="en-US" w:eastAsia="zh-CN"/>
        </w:rPr>
        <w:t xml:space="preserve"> 桓仁红松籽</w:t>
      </w:r>
      <w:r>
        <w:rPr>
          <w:rFonts w:hint="eastAsia"/>
        </w:rPr>
        <w:t>的术语和定义、</w:t>
      </w:r>
      <w:r>
        <w:rPr>
          <w:rFonts w:hint="eastAsia"/>
          <w:lang w:val="en-US" w:eastAsia="zh-CN"/>
        </w:rPr>
        <w:t>地理标志产品保护范围、</w:t>
      </w:r>
      <w:r>
        <w:rPr>
          <w:rFonts w:hint="eastAsia"/>
        </w:rPr>
        <w:t>技术要求、检验方法、检验规则</w:t>
      </w:r>
      <w:r>
        <w:rPr>
          <w:rFonts w:hint="eastAsia"/>
          <w:lang w:eastAsia="zh-CN"/>
        </w:rPr>
        <w:t>及</w:t>
      </w:r>
      <w:r>
        <w:rPr>
          <w:rFonts w:hint="eastAsia"/>
        </w:rPr>
        <w:t>标志</w:t>
      </w:r>
      <w:r>
        <w:rPr>
          <w:rFonts w:hint="eastAsia"/>
          <w:lang w:eastAsia="zh-CN"/>
        </w:rPr>
        <w:t>、</w:t>
      </w:r>
      <w:r>
        <w:rPr>
          <w:rFonts w:hint="eastAsia"/>
        </w:rPr>
        <w:t>包装、运输和贮存。</w:t>
      </w:r>
    </w:p>
    <w:p>
      <w:pPr>
        <w:pStyle w:val="24"/>
        <w:rPr>
          <w:rFonts w:hint="default"/>
          <w:lang w:val="en-US" w:eastAsia="zh-CN"/>
        </w:rPr>
      </w:pPr>
      <w:r>
        <w:rPr>
          <w:rFonts w:hint="eastAsia" w:hAnsi="Times New Roman" w:cs="Times New Roman"/>
          <w:lang w:val="en-US" w:eastAsia="zh-CN"/>
        </w:rPr>
        <w:t>本文件适用于原国家质量监督检验检疫总局2009年第127号公告批准保护的</w:t>
      </w:r>
      <w:bookmarkStart w:id="41" w:name="_GoBack"/>
      <w:bookmarkEnd w:id="41"/>
      <w:r>
        <w:rPr>
          <w:rFonts w:hint="eastAsia" w:hAnsi="Times New Roman" w:cs="Times New Roman"/>
          <w:lang w:val="en-US" w:eastAsia="zh-CN"/>
        </w:rPr>
        <w:t>桓仁红松籽</w:t>
      </w:r>
      <w:r>
        <w:rPr>
          <w:rFonts w:hint="eastAsia"/>
        </w:rPr>
        <w:t>。</w:t>
      </w:r>
    </w:p>
    <w:p>
      <w:pPr>
        <w:pStyle w:val="71"/>
        <w:bidi w:val="0"/>
        <w:rPr>
          <w:rFonts w:hint="eastAsia"/>
          <w:lang w:val="en-US" w:eastAsia="zh-CN"/>
        </w:rPr>
      </w:pPr>
      <w:bookmarkStart w:id="12" w:name="_Toc28565"/>
      <w:r>
        <w:rPr>
          <w:rFonts w:hint="default"/>
          <w:lang w:val="en-US" w:eastAsia="zh-CN"/>
        </w:rPr>
        <w:t>规范性引用文件</w:t>
      </w:r>
      <w:bookmarkEnd w:id="12"/>
    </w:p>
    <w:sdt>
      <w:sdtPr>
        <w:rPr>
          <w:rFonts w:hint="eastAsia" w:ascii="宋体" w:hAnsi="Times New Roman" w:eastAsia="宋体" w:cs="宋体"/>
          <w:sz w:val="21"/>
          <w:lang w:val="en-US" w:eastAsia="zh-CN"/>
        </w:rPr>
        <w:tag w:val="StandNameFile"/>
        <w:id w:val="147454872"/>
        <w:placeholder>
          <w:docPart w:val="{69a295b7-9e4f-4591-8422-33aa79e098a3}"/>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GB/T 191 包装储运图示标志</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2760 食品安全国家标准 食品添加剂使用标准</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2761 食品安全国家标准 食品中真菌毒素限量</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2762 食品安全国家标准 食品中污染物限量（含第1号修改单）</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5009.3 食品安全国家标准  食品中水分的测定</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5009.6 食品安全国家标准食品中脂肪的测定</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5009.227 食品安全国家标准 食品中过氧化值的测定</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5009.229 食品安全国家标准 食品中酸价的测定</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GB/T 6543 运输包装用单瓦楞纸箱和双瓦楞纸箱</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7718 食品安全国家标准  预包装食品标签通则</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9683 复合食品包装袋卫生标准</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19300 食品安全国家标准 坚果与籽类食品</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28050  食品安全国家标准 预包装食品营养标签通则</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GB 29921 食品安全国家标准 预包装食品中致病菌限量</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LY/T 1921 红松松籽</w:t>
      </w:r>
    </w:p>
    <w:p>
      <w:pPr>
        <w:pStyle w:val="120"/>
        <w:keepNext w:val="0"/>
        <w:keepLines w:val="0"/>
        <w:pageBreakBefore w:val="0"/>
        <w:widowControl/>
        <w:kinsoku/>
        <w:wordWrap/>
        <w:overflowPunct/>
        <w:topLinePunct w:val="0"/>
        <w:bidi w:val="0"/>
        <w:adjustRightInd/>
        <w:snapToGrid/>
        <w:ind w:firstLine="420" w:firstLineChars="200"/>
        <w:textAlignment w:val="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JJF 1070 定量包装商品净含量计量检验规则</w:t>
      </w:r>
    </w:p>
    <w:p>
      <w:pPr>
        <w:pStyle w:val="24"/>
        <w:bidi w:val="0"/>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国家市场监督管理总局令第70号《定量包装商品计量监督管理办法》</w:t>
      </w:r>
    </w:p>
    <w:p>
      <w:pPr>
        <w:pStyle w:val="71"/>
        <w:bidi w:val="0"/>
        <w:rPr>
          <w:rFonts w:hint="eastAsia" w:ascii="宋体" w:hAnsi="Times New Roman" w:eastAsia="宋体" w:cs="宋体"/>
          <w:lang w:val="en-US" w:eastAsia="zh-CN"/>
        </w:rPr>
      </w:pPr>
      <w:bookmarkStart w:id="13" w:name="_Toc29291"/>
      <w:r>
        <w:rPr>
          <w:rFonts w:hint="default"/>
          <w:lang w:val="en-US" w:eastAsia="zh-CN"/>
        </w:rPr>
        <w:t>术语和定义</w:t>
      </w:r>
      <w:bookmarkEnd w:id="13"/>
    </w:p>
    <w:sdt>
      <w:sdtPr>
        <w:rPr>
          <w:rFonts w:hint="default" w:ascii="宋体" w:hAnsi="Times New Roman" w:eastAsia="宋体" w:cs="宋体"/>
          <w:sz w:val="21"/>
          <w:lang w:val="en-US" w:eastAsia="zh-CN"/>
        </w:rPr>
        <w:tag w:val="TermContent"/>
        <w:id w:val="147454872"/>
        <w:placeholder>
          <w:docPart w:val="{770ca80c-c834-4f55-9eb8-66439144759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宋体" w:hAnsi="Times New Roman" w:eastAsia="宋体" w:cs="宋体"/>
          <w:sz w:val="21"/>
          <w:lang w:val="en-US" w:eastAsia="zh-CN"/>
        </w:rPr>
      </w:sdtEndPr>
      <w:sdtContent>
        <w:p>
          <w:pPr>
            <w:pStyle w:val="24"/>
            <w:rPr>
              <w:rFonts w:hint="eastAsia"/>
              <w:lang w:val="en-US" w:eastAsia="zh-CN"/>
            </w:rPr>
          </w:pPr>
          <w:r>
            <w:rPr>
              <w:rFonts w:hint="default" w:ascii="宋体" w:hAnsi="Times New Roman" w:eastAsia="宋体" w:cs="宋体"/>
              <w:sz w:val="21"/>
              <w:lang w:val="en-US" w:eastAsia="zh-CN"/>
            </w:rPr>
            <w:t>下列术语和定义适用于本文件。</w:t>
          </w:r>
        </w:p>
      </w:sdtContent>
    </w:sdt>
    <w:p>
      <w:pPr>
        <w:pStyle w:val="72"/>
        <w:bidi w:val="0"/>
        <w:rPr>
          <w:rFonts w:hint="default"/>
          <w:lang w:val="en-US" w:eastAsia="zh-CN"/>
        </w:rPr>
      </w:pPr>
    </w:p>
    <w:p>
      <w:pPr>
        <w:pStyle w:val="72"/>
        <w:numPr>
          <w:ilvl w:val="1"/>
          <w:numId w:val="0"/>
        </w:numPr>
        <w:bidi w:val="0"/>
        <w:ind w:leftChars="0" w:firstLine="420" w:firstLineChars="200"/>
        <w:rPr>
          <w:rFonts w:hint="default"/>
          <w:i/>
          <w:iCs/>
          <w:lang w:val="en-US" w:eastAsia="zh-CN"/>
        </w:rPr>
      </w:pPr>
      <w:r>
        <w:rPr>
          <w:rFonts w:hint="eastAsia"/>
          <w:lang w:val="en-US" w:eastAsia="zh-CN"/>
        </w:rPr>
        <w:t>桓仁红松籽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24"/>
        <w:rPr>
          <w:rFonts w:hint="eastAsia"/>
          <w:lang w:val="en-US" w:eastAsia="zh-CN"/>
        </w:rPr>
      </w:pPr>
      <w:r>
        <w:rPr>
          <w:rFonts w:hint="eastAsia"/>
          <w:lang w:val="en-US" w:eastAsia="zh-CN"/>
        </w:rPr>
        <w:t>在桓仁满族自治县境内生长成熟的红松（</w:t>
      </w:r>
      <w:r>
        <w:rPr>
          <w:rFonts w:hint="eastAsia"/>
          <w:i/>
          <w:iCs/>
          <w:lang w:val="en-US" w:eastAsia="zh-CN"/>
        </w:rPr>
        <w:t>Pinus koraiensis</w:t>
      </w:r>
      <w:r>
        <w:rPr>
          <w:rFonts w:hint="eastAsia"/>
          <w:lang w:val="en-US" w:eastAsia="zh-CN"/>
        </w:rPr>
        <w:t>）种子，经采摘、加工而成的红松籽。</w:t>
      </w:r>
    </w:p>
    <w:p>
      <w:pPr>
        <w:pStyle w:val="72"/>
        <w:bidi w:val="0"/>
        <w:rPr>
          <w:rFonts w:hint="eastAsia"/>
          <w:lang w:val="en-US" w:eastAsia="zh-CN"/>
        </w:rPr>
      </w:pPr>
    </w:p>
    <w:p>
      <w:pPr>
        <w:pStyle w:val="72"/>
        <w:numPr>
          <w:ilvl w:val="1"/>
          <w:numId w:val="0"/>
        </w:numPr>
        <w:bidi w:val="0"/>
        <w:ind w:leftChars="0" w:firstLine="420" w:firstLineChars="200"/>
        <w:rPr>
          <w:rFonts w:hint="default"/>
          <w:lang w:val="en-US" w:eastAsia="zh-CN"/>
        </w:rPr>
      </w:pPr>
      <w:r>
        <w:rPr>
          <w:rFonts w:hint="eastAsia"/>
          <w:lang w:val="en-US" w:eastAsia="zh-CN"/>
        </w:rPr>
        <w:t>生干桓仁红松籽 dried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72"/>
        <w:numPr>
          <w:ilvl w:val="1"/>
          <w:numId w:val="0"/>
        </w:numPr>
        <w:bidi w:val="0"/>
        <w:ind w:leftChars="0" w:firstLine="420" w:firstLineChars="200"/>
        <w:rPr>
          <w:rFonts w:hint="default" w:ascii="宋体" w:hAnsi="Times New Roman" w:eastAsia="宋体" w:cs="宋体"/>
          <w:sz w:val="21"/>
          <w:lang w:val="en-US" w:eastAsia="zh-CN"/>
        </w:rPr>
      </w:pPr>
      <w:r>
        <w:rPr>
          <w:rFonts w:hint="default" w:ascii="宋体" w:hAnsi="Times New Roman" w:eastAsia="宋体" w:cs="宋体"/>
          <w:sz w:val="21"/>
          <w:lang w:val="en-US" w:eastAsia="zh-CN"/>
        </w:rPr>
        <w:t>经过筛选或去壳或干燥等处理,未经熟制工艺加工的</w:t>
      </w:r>
      <w:r>
        <w:rPr>
          <w:rFonts w:hint="eastAsia" w:ascii="宋体" w:hAnsi="Times New Roman" w:eastAsia="宋体" w:cs="宋体"/>
          <w:sz w:val="21"/>
          <w:lang w:val="en-US" w:eastAsia="zh-CN"/>
        </w:rPr>
        <w:t>桓仁红松籽</w:t>
      </w:r>
      <w:r>
        <w:rPr>
          <w:rFonts w:hint="default" w:ascii="宋体" w:hAnsi="Times New Roman" w:eastAsia="宋体" w:cs="宋体"/>
          <w:sz w:val="21"/>
          <w:lang w:val="en-US" w:eastAsia="zh-CN"/>
        </w:rPr>
        <w:t>。</w:t>
      </w:r>
    </w:p>
    <w:p>
      <w:pPr>
        <w:pStyle w:val="72"/>
        <w:bidi w:val="0"/>
        <w:rPr>
          <w:rFonts w:hint="default"/>
          <w:lang w:val="en-US" w:eastAsia="zh-CN"/>
        </w:rPr>
      </w:pPr>
    </w:p>
    <w:p>
      <w:pPr>
        <w:pStyle w:val="72"/>
        <w:numPr>
          <w:ilvl w:val="1"/>
          <w:numId w:val="0"/>
        </w:numPr>
        <w:bidi w:val="0"/>
        <w:ind w:leftChars="0" w:firstLine="420" w:firstLineChars="200"/>
        <w:rPr>
          <w:rFonts w:hint="default"/>
          <w:lang w:val="en-US" w:eastAsia="zh-CN"/>
        </w:rPr>
      </w:pPr>
      <w:r>
        <w:rPr>
          <w:rFonts w:hint="eastAsia"/>
          <w:lang w:val="en-US" w:eastAsia="zh-CN"/>
        </w:rPr>
        <w:t>熟制桓仁红松籽 fried h</w:t>
      </w:r>
      <w:r>
        <w:rPr>
          <w:rFonts w:hint="default"/>
          <w:lang w:val="en-US" w:eastAsia="zh-CN"/>
        </w:rPr>
        <w:t xml:space="preserve">uanren </w:t>
      </w:r>
      <w:r>
        <w:rPr>
          <w:rFonts w:hint="eastAsia"/>
          <w:lang w:val="en-US" w:eastAsia="zh-CN"/>
        </w:rPr>
        <w:t>p</w:t>
      </w:r>
      <w:r>
        <w:rPr>
          <w:rFonts w:hint="default"/>
          <w:lang w:val="en-US" w:eastAsia="zh-CN"/>
        </w:rPr>
        <w:t>ine nut of</w:t>
      </w:r>
      <w:r>
        <w:rPr>
          <w:rFonts w:hint="default"/>
          <w:i/>
          <w:iCs/>
          <w:lang w:val="en-US" w:eastAsia="zh-CN"/>
        </w:rPr>
        <w:t xml:space="preserve"> </w:t>
      </w:r>
      <w:r>
        <w:rPr>
          <w:rFonts w:hint="eastAsia"/>
          <w:i/>
          <w:iCs/>
          <w:lang w:val="en-US" w:eastAsia="zh-CN"/>
        </w:rPr>
        <w:t>P</w:t>
      </w:r>
      <w:r>
        <w:rPr>
          <w:rFonts w:hint="default"/>
          <w:i/>
          <w:iCs/>
          <w:lang w:val="en-US" w:eastAsia="zh-CN"/>
        </w:rPr>
        <w:t>inus koraiensis</w:t>
      </w:r>
    </w:p>
    <w:p>
      <w:pPr>
        <w:pStyle w:val="24"/>
        <w:rPr>
          <w:rFonts w:hint="default"/>
          <w:lang w:val="en-US" w:eastAsia="zh-CN"/>
        </w:rPr>
      </w:pPr>
      <w:r>
        <w:rPr>
          <w:rFonts w:hint="default"/>
          <w:lang w:val="en-US" w:eastAsia="zh-CN"/>
        </w:rPr>
        <w:t>经烘炒、油炸等工艺加工制成的</w:t>
      </w:r>
      <w:r>
        <w:rPr>
          <w:rFonts w:hint="eastAsia"/>
          <w:lang w:val="en-US" w:eastAsia="zh-CN"/>
        </w:rPr>
        <w:t>桓仁红松籽</w:t>
      </w:r>
      <w:r>
        <w:rPr>
          <w:rFonts w:hint="default"/>
          <w:lang w:val="en-US" w:eastAsia="zh-CN"/>
        </w:rPr>
        <w:t>。</w:t>
      </w:r>
    </w:p>
    <w:p>
      <w:pPr>
        <w:pStyle w:val="71"/>
        <w:bidi w:val="0"/>
        <w:rPr>
          <w:rFonts w:hint="eastAsia"/>
          <w:lang w:val="en-US" w:eastAsia="zh-CN"/>
        </w:rPr>
      </w:pPr>
      <w:bookmarkStart w:id="14" w:name="_Toc23258"/>
      <w:r>
        <w:rPr>
          <w:rFonts w:hint="eastAsia"/>
          <w:lang w:val="en-US" w:eastAsia="zh-CN"/>
        </w:rPr>
        <w:t>地理标志产品保护范围</w:t>
      </w:r>
      <w:bookmarkEnd w:id="14"/>
    </w:p>
    <w:p>
      <w:pPr>
        <w:pStyle w:val="24"/>
        <w:rPr>
          <w:rFonts w:hint="eastAsia"/>
          <w:lang w:val="en-US" w:eastAsia="zh-CN"/>
        </w:rPr>
      </w:pPr>
      <w:bookmarkStart w:id="15" w:name="_Toc26062"/>
      <w:r>
        <w:rPr>
          <w:rFonts w:hint="eastAsia"/>
          <w:lang w:val="en-US" w:eastAsia="zh-CN"/>
        </w:rPr>
        <w:t>辽宁省桓仁满族自治县现辖行政区域范围。见附录A</w:t>
      </w:r>
      <w:bookmarkEnd w:id="15"/>
    </w:p>
    <w:p>
      <w:pPr>
        <w:pStyle w:val="71"/>
        <w:bidi w:val="0"/>
        <w:rPr>
          <w:rFonts w:hint="eastAsia"/>
          <w:lang w:val="en-US" w:eastAsia="zh-CN"/>
        </w:rPr>
      </w:pPr>
      <w:bookmarkStart w:id="16" w:name="_Toc7844"/>
      <w:r>
        <w:rPr>
          <w:rFonts w:hint="eastAsia"/>
          <w:lang w:val="en-US" w:eastAsia="zh-CN"/>
        </w:rPr>
        <w:t>技术要求</w:t>
      </w:r>
      <w:bookmarkEnd w:id="16"/>
    </w:p>
    <w:p>
      <w:pPr>
        <w:pStyle w:val="72"/>
        <w:bidi w:val="0"/>
        <w:rPr>
          <w:rFonts w:hint="eastAsia"/>
          <w:lang w:val="en-US" w:eastAsia="zh-CN"/>
        </w:rPr>
      </w:pPr>
      <w:bookmarkStart w:id="17" w:name="_Toc11316"/>
      <w:r>
        <w:rPr>
          <w:rFonts w:hint="eastAsia"/>
          <w:lang w:val="en-US" w:eastAsia="zh-CN"/>
        </w:rPr>
        <w:t>感官要求</w:t>
      </w:r>
      <w:bookmarkEnd w:id="17"/>
    </w:p>
    <w:p>
      <w:pPr>
        <w:pStyle w:val="24"/>
        <w:rPr>
          <w:rFonts w:hint="eastAsia"/>
          <w:lang w:val="en-US" w:eastAsia="zh-CN"/>
        </w:rPr>
      </w:pPr>
      <w:r>
        <w:rPr>
          <w:rFonts w:hint="eastAsia"/>
          <w:lang w:val="en-US" w:eastAsia="zh-CN"/>
        </w:rPr>
        <w:t>符合表1的规定。</w:t>
      </w:r>
    </w:p>
    <w:p>
      <w:pPr>
        <w:pStyle w:val="112"/>
        <w:bidi w:val="0"/>
        <w:rPr>
          <w:rFonts w:hint="eastAsia"/>
          <w:lang w:val="en-US" w:eastAsia="zh-CN"/>
        </w:rPr>
      </w:pPr>
      <w:r>
        <w:rPr>
          <w:rFonts w:hint="eastAsia"/>
          <w:lang w:val="en-US" w:eastAsia="zh-CN"/>
        </w:rPr>
        <w:t>感官要求</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restart"/>
          </w:tcPr>
          <w:p>
            <w:pPr>
              <w:pStyle w:val="110"/>
              <w:widowControl w:val="0"/>
              <w:bidi w:val="0"/>
              <w:jc w:val="center"/>
              <w:rPr>
                <w:rFonts w:hint="default"/>
                <w:lang w:val="en-US" w:eastAsia="zh-CN"/>
              </w:rPr>
            </w:pPr>
            <w:r>
              <w:rPr>
                <w:rFonts w:hint="eastAsia"/>
                <w:lang w:val="en-US" w:eastAsia="zh-CN"/>
              </w:rPr>
              <w:t>项目</w:t>
            </w:r>
          </w:p>
        </w:tc>
        <w:tc>
          <w:tcPr>
            <w:tcW w:w="3333" w:type="pct"/>
            <w:gridSpan w:val="2"/>
            <w:tcBorders>
              <w:bottom w:val="single" w:color="auto" w:sz="8" w:space="0"/>
            </w:tcBorders>
          </w:tcPr>
          <w:p>
            <w:pPr>
              <w:pStyle w:val="110"/>
              <w:widowControl w:val="0"/>
              <w:bidi w:val="0"/>
              <w:jc w:val="center"/>
              <w:rPr>
                <w:rFonts w:hint="eastAsia"/>
                <w:lang w:val="en-US" w:eastAsia="zh-CN"/>
              </w:rPr>
            </w:pPr>
            <w:r>
              <w:rPr>
                <w:rFonts w:hint="eastAsia" w:ascii="宋体" w:hAnsi="宋体"/>
                <w:sz w:val="18"/>
                <w:szCs w:val="18"/>
                <w:lang w:eastAsia="zh-CN"/>
              </w:rPr>
              <w:t>要</w:t>
            </w:r>
            <w:r>
              <w:rPr>
                <w:rFonts w:hint="eastAsia" w:ascii="宋体" w:hAnsi="宋体"/>
                <w:sz w:val="18"/>
                <w:szCs w:val="18"/>
                <w:lang w:val="en-US" w:eastAsia="zh-CN"/>
              </w:rPr>
              <w:t xml:space="preserve">    </w:t>
            </w:r>
            <w:r>
              <w:rPr>
                <w:rFonts w:hint="eastAsia" w:ascii="宋体" w:hAnsi="宋体"/>
                <w:sz w:val="18"/>
                <w:szCs w:val="18"/>
                <w:lang w:eastAsia="zh-CN"/>
              </w:rPr>
              <w:t>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Pr>
          <w:p>
            <w:pPr>
              <w:pStyle w:val="110"/>
              <w:widowControl w:val="0"/>
              <w:bidi w:val="0"/>
              <w:jc w:val="center"/>
              <w:rPr>
                <w:rFonts w:hint="eastAsia"/>
                <w:lang w:val="en-US" w:eastAsia="zh-CN"/>
              </w:rPr>
            </w:pPr>
          </w:p>
        </w:tc>
        <w:tc>
          <w:tcPr>
            <w:tcW w:w="1666"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w:t>
            </w:r>
            <w:r>
              <w:rPr>
                <w:rFonts w:hint="eastAsia" w:hAnsi="宋体"/>
                <w:sz w:val="18"/>
                <w:szCs w:val="18"/>
                <w:lang w:val="en-US" w:eastAsia="zh-CN"/>
              </w:rPr>
              <w:t>桓仁</w:t>
            </w:r>
            <w:r>
              <w:rPr>
                <w:rFonts w:hint="eastAsia" w:ascii="宋体" w:hAnsi="宋体"/>
                <w:sz w:val="18"/>
                <w:szCs w:val="18"/>
                <w:lang w:val="en-US" w:eastAsia="zh-CN"/>
              </w:rPr>
              <w:t>红松籽</w:t>
            </w:r>
          </w:p>
        </w:tc>
        <w:tc>
          <w:tcPr>
            <w:tcW w:w="1667" w:type="pct"/>
            <w:tcBorders>
              <w:top w:val="single" w:color="auto" w:sz="8" w:space="0"/>
            </w:tcBorders>
            <w:vAlign w:val="center"/>
          </w:tcPr>
          <w:p>
            <w:pPr>
              <w:autoSpaceDE w:val="0"/>
              <w:autoSpaceDN w:val="0"/>
              <w:ind w:firstLine="360" w:firstLineChars="200"/>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w:t>
            </w:r>
            <w:r>
              <w:rPr>
                <w:rFonts w:hint="eastAsia" w:hAnsi="宋体"/>
                <w:sz w:val="18"/>
                <w:szCs w:val="18"/>
                <w:lang w:val="en-US" w:eastAsia="zh-CN"/>
              </w:rPr>
              <w:t>桓仁</w:t>
            </w:r>
            <w:r>
              <w:rPr>
                <w:rFonts w:hint="eastAsia" w:ascii="宋体" w:hAnsi="宋体"/>
                <w:sz w:val="18"/>
                <w:szCs w:val="18"/>
                <w:lang w:val="en-US" w:eastAsia="zh-CN"/>
              </w:rPr>
              <w:t>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eastAsia="宋体"/>
                <w:sz w:val="18"/>
                <w:szCs w:val="18"/>
                <w:lang w:eastAsia="zh-CN"/>
              </w:rPr>
              <w:t>外观</w:t>
            </w:r>
          </w:p>
        </w:tc>
        <w:tc>
          <w:tcPr>
            <w:tcW w:w="1666" w:type="pct"/>
            <w:vAlign w:val="center"/>
          </w:tcPr>
          <w:p>
            <w:pPr>
              <w:pStyle w:val="120"/>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坚果成熟，外观形态完好、整齐，呈</w:t>
            </w:r>
            <w:r>
              <w:rPr>
                <w:rFonts w:hint="eastAsia"/>
                <w:sz w:val="18"/>
                <w:szCs w:val="18"/>
                <w:lang w:val="en-US" w:eastAsia="zh-CN"/>
              </w:rPr>
              <w:t>黄褐色、浅金黄色</w:t>
            </w:r>
            <w:r>
              <w:rPr>
                <w:rFonts w:hint="eastAsia"/>
                <w:sz w:val="18"/>
                <w:szCs w:val="18"/>
              </w:rPr>
              <w:t>，</w:t>
            </w:r>
            <w:r>
              <w:rPr>
                <w:rFonts w:hint="eastAsia"/>
                <w:sz w:val="18"/>
                <w:szCs w:val="18"/>
                <w:lang w:val="en-US" w:eastAsia="zh-CN"/>
              </w:rPr>
              <w:t>有光泽</w:t>
            </w:r>
            <w:r>
              <w:rPr>
                <w:rFonts w:hint="eastAsia"/>
                <w:sz w:val="18"/>
                <w:szCs w:val="18"/>
              </w:rPr>
              <w:t>。</w:t>
            </w:r>
          </w:p>
        </w:tc>
        <w:tc>
          <w:tcPr>
            <w:tcW w:w="1667" w:type="pct"/>
            <w:vAlign w:val="center"/>
          </w:tcPr>
          <w:p>
            <w:pPr>
              <w:pStyle w:val="120"/>
              <w:keepLines w:val="0"/>
              <w:widowControl w:val="0"/>
              <w:kinsoku/>
              <w:wordWrap/>
              <w:overflowPunct/>
              <w:topLinePunct w:val="0"/>
              <w:bidi w:val="0"/>
              <w:adjustRightInd/>
              <w:snapToGrid/>
              <w:spacing w:line="240" w:lineRule="auto"/>
              <w:ind w:left="0" w:leftChars="0" w:firstLine="0" w:firstLineChars="0"/>
              <w:textAlignment w:val="auto"/>
              <w:rPr>
                <w:rFonts w:hint="eastAsia"/>
                <w:lang w:val="en-US" w:eastAsia="zh-CN"/>
              </w:rPr>
            </w:pPr>
            <w:r>
              <w:rPr>
                <w:rFonts w:hint="eastAsia"/>
                <w:sz w:val="18"/>
                <w:szCs w:val="18"/>
              </w:rPr>
              <w:t>坚果成熟，外观整齐，</w:t>
            </w:r>
            <w:r>
              <w:rPr>
                <w:rFonts w:hint="eastAsia"/>
                <w:sz w:val="18"/>
                <w:szCs w:val="18"/>
                <w:lang w:val="en-US" w:eastAsia="zh-CN"/>
              </w:rPr>
              <w:t>色泽均匀，有光泽，无明显焦色。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滋气味</w:t>
            </w:r>
          </w:p>
        </w:tc>
        <w:tc>
          <w:tcPr>
            <w:tcW w:w="1666" w:type="pct"/>
            <w:vAlign w:val="center"/>
          </w:tcPr>
          <w:p>
            <w:pPr>
              <w:autoSpaceDE w:val="0"/>
              <w:autoSpaceDN w:val="0"/>
              <w:jc w:val="center"/>
              <w:rPr>
                <w:rFonts w:hint="default"/>
                <w:lang w:val="en-US" w:eastAsia="zh-CN"/>
              </w:rPr>
            </w:pPr>
            <w:r>
              <w:rPr>
                <w:rFonts w:hint="eastAsia" w:hAnsi="宋体"/>
                <w:color w:val="000000" w:themeColor="text1"/>
                <w:sz w:val="18"/>
                <w:szCs w:val="18"/>
                <w:lang w:val="en-US" w:eastAsia="zh-CN"/>
                <w14:textFill>
                  <w14:solidFill>
                    <w14:schemeClr w14:val="tx1"/>
                  </w14:solidFill>
                </w14:textFill>
              </w:rPr>
              <w:t>口感</w:t>
            </w:r>
            <w:r>
              <w:rPr>
                <w:rFonts w:hint="eastAsia" w:ascii="宋体" w:hAnsi="宋体"/>
                <w:color w:val="000000" w:themeColor="text1"/>
                <w:sz w:val="18"/>
                <w:szCs w:val="18"/>
                <w14:textFill>
                  <w14:solidFill>
                    <w14:schemeClr w14:val="tx1"/>
                  </w14:solidFill>
                </w14:textFill>
              </w:rPr>
              <w:t>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松香味，</w:t>
            </w:r>
            <w:r>
              <w:rPr>
                <w:rFonts w:hint="eastAsia" w:ascii="宋体" w:hAnsi="宋体"/>
                <w:color w:val="000000" w:themeColor="text1"/>
                <w:sz w:val="18"/>
                <w:szCs w:val="18"/>
                <w:lang w:eastAsia="zh-CN"/>
                <w14:textFill>
                  <w14:solidFill>
                    <w14:schemeClr w14:val="tx1"/>
                  </w14:solidFill>
                </w14:textFill>
              </w:rPr>
              <w:t>无酸败味、苦涩味等异味</w:t>
            </w:r>
            <w:r>
              <w:rPr>
                <w:rFonts w:hint="eastAsia" w:hAnsi="宋体"/>
                <w:color w:val="000000" w:themeColor="text1"/>
                <w:sz w:val="18"/>
                <w:szCs w:val="18"/>
                <w:lang w:eastAsia="zh-CN"/>
                <w14:textFill>
                  <w14:solidFill>
                    <w14:schemeClr w14:val="tx1"/>
                  </w14:solidFill>
                </w14:textFill>
              </w:rPr>
              <w:t>，</w:t>
            </w:r>
            <w:r>
              <w:rPr>
                <w:rFonts w:hint="eastAsia" w:hAnsi="宋体"/>
                <w:color w:val="000000" w:themeColor="text1"/>
                <w:sz w:val="18"/>
                <w:szCs w:val="18"/>
                <w:lang w:val="en-US" w:eastAsia="zh-CN"/>
                <w14:textFill>
                  <w14:solidFill>
                    <w14:schemeClr w14:val="tx1"/>
                  </w14:solidFill>
                </w14:textFill>
              </w:rPr>
              <w:t>无霉变。</w:t>
            </w:r>
          </w:p>
        </w:tc>
        <w:tc>
          <w:tcPr>
            <w:tcW w:w="1667" w:type="pct"/>
            <w:vAlign w:val="center"/>
          </w:tcPr>
          <w:p>
            <w:pPr>
              <w:autoSpaceDE w:val="0"/>
              <w:autoSpaceDN w:val="0"/>
              <w:jc w:val="center"/>
              <w:rPr>
                <w:rFonts w:hint="eastAsia"/>
                <w:lang w:val="en-US" w:eastAsia="zh-CN"/>
              </w:rPr>
            </w:pPr>
            <w:r>
              <w:rPr>
                <w:rFonts w:hint="eastAsia" w:hAnsi="宋体"/>
                <w:color w:val="000000" w:themeColor="text1"/>
                <w:sz w:val="18"/>
                <w:szCs w:val="18"/>
                <w:lang w:val="en-US" w:eastAsia="zh-CN"/>
                <w14:textFill>
                  <w14:solidFill>
                    <w14:schemeClr w14:val="tx1"/>
                  </w14:solidFill>
                </w14:textFill>
              </w:rPr>
              <w:t>口感</w:t>
            </w:r>
            <w:r>
              <w:rPr>
                <w:rFonts w:hint="eastAsia" w:ascii="宋体" w:hAnsi="宋体"/>
                <w:color w:val="000000" w:themeColor="text1"/>
                <w:sz w:val="18"/>
                <w:szCs w:val="18"/>
                <w14:textFill>
                  <w14:solidFill>
                    <w14:schemeClr w14:val="tx1"/>
                  </w14:solidFill>
                </w14:textFill>
              </w:rPr>
              <w:t>纯正</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无异味</w:t>
            </w:r>
            <w:r>
              <w:rPr>
                <w:rFonts w:hint="eastAsia" w:ascii="宋体" w:hAnsi="宋体"/>
                <w:color w:val="000000" w:themeColor="text1"/>
                <w:sz w:val="18"/>
                <w:szCs w:val="18"/>
                <w:lang w:eastAsia="zh-CN"/>
                <w14:textFill>
                  <w14:solidFill>
                    <w14:schemeClr w14:val="tx1"/>
                  </w14:solidFill>
                </w14:textFill>
              </w:rPr>
              <w:t>，</w:t>
            </w:r>
            <w:r>
              <w:rPr>
                <w:rFonts w:hint="eastAsia" w:ascii="宋体" w:hAnsi="宋体"/>
                <w:color w:val="000000" w:themeColor="text1"/>
                <w:sz w:val="18"/>
                <w:szCs w:val="18"/>
                <w:lang w:val="en-US" w:eastAsia="zh-CN"/>
                <w14:textFill>
                  <w14:solidFill>
                    <w14:schemeClr w14:val="tx1"/>
                  </w14:solidFill>
                </w14:textFill>
              </w:rPr>
              <w:t>松香味，</w:t>
            </w:r>
            <w:r>
              <w:rPr>
                <w:rFonts w:hint="eastAsia" w:ascii="宋体" w:hAnsi="宋体"/>
                <w:color w:val="000000" w:themeColor="text1"/>
                <w:sz w:val="18"/>
                <w:szCs w:val="18"/>
                <w14:textFill>
                  <w14:solidFill>
                    <w14:schemeClr w14:val="tx1"/>
                  </w14:solidFill>
                </w14:textFill>
              </w:rPr>
              <w:t>具有松脆口感</w:t>
            </w:r>
            <w:r>
              <w:rPr>
                <w:rFonts w:hint="eastAsia" w:hAnsi="宋体"/>
                <w:color w:val="000000" w:themeColor="text1"/>
                <w:sz w:val="18"/>
                <w:szCs w:val="18"/>
                <w:lang w:eastAsia="zh-CN"/>
                <w14:textFill>
                  <w14:solidFill>
                    <w14:schemeClr w14:val="tx1"/>
                  </w14:solidFill>
                </w14:textFill>
              </w:rPr>
              <w:t>，</w:t>
            </w:r>
            <w:r>
              <w:rPr>
                <w:rFonts w:hint="eastAsia" w:hAnsi="宋体"/>
                <w:color w:val="000000" w:themeColor="text1"/>
                <w:sz w:val="18"/>
                <w:szCs w:val="18"/>
                <w:lang w:val="en-US" w:eastAsia="zh-CN"/>
                <w14:textFill>
                  <w14:solidFill>
                    <w14:schemeClr w14:val="tx1"/>
                  </w14:solidFill>
                </w14:textFill>
              </w:rPr>
              <w:t>无霉变。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autoSpaceDE w:val="0"/>
              <w:autoSpaceDN w:val="0"/>
              <w:jc w:val="center"/>
              <w:rPr>
                <w:rFonts w:hint="eastAsia"/>
                <w:lang w:val="en-US" w:eastAsia="zh-CN"/>
              </w:rPr>
            </w:pPr>
            <w:r>
              <w:rPr>
                <w:rFonts w:hint="eastAsia" w:ascii="宋体" w:hAnsi="宋体"/>
                <w:sz w:val="18"/>
                <w:szCs w:val="18"/>
                <w:lang w:val="en-US" w:eastAsia="zh-CN"/>
              </w:rPr>
              <w:t>杂质</w:t>
            </w:r>
          </w:p>
        </w:tc>
        <w:tc>
          <w:tcPr>
            <w:tcW w:w="3333" w:type="pct"/>
            <w:gridSpan w:val="2"/>
          </w:tcPr>
          <w:p>
            <w:pPr>
              <w:pStyle w:val="110"/>
              <w:widowControl w:val="0"/>
              <w:bidi w:val="0"/>
              <w:jc w:val="center"/>
              <w:rPr>
                <w:rFonts w:hint="eastAsia"/>
                <w:lang w:val="en-US" w:eastAsia="zh-CN"/>
              </w:rPr>
            </w:pPr>
            <w:r>
              <w:rPr>
                <w:rFonts w:hint="eastAsia" w:ascii="宋体" w:hAnsi="宋体"/>
                <w:color w:val="000000" w:themeColor="text1"/>
                <w:sz w:val="18"/>
                <w:szCs w:val="18"/>
                <w:lang w:val="en-US" w:eastAsia="zh-CN"/>
                <w14:textFill>
                  <w14:solidFill>
                    <w14:schemeClr w14:val="tx1"/>
                  </w14:solidFill>
                </w14:textFill>
              </w:rPr>
              <w:t>无肉眼可见外来异物</w:t>
            </w:r>
          </w:p>
        </w:tc>
      </w:tr>
    </w:tbl>
    <w:p>
      <w:pPr>
        <w:pStyle w:val="72"/>
        <w:bidi w:val="0"/>
        <w:rPr>
          <w:rFonts w:hint="eastAsia"/>
          <w:lang w:val="en-US" w:eastAsia="zh-CN"/>
        </w:rPr>
      </w:pPr>
      <w:bookmarkStart w:id="18" w:name="_Toc18477"/>
      <w:r>
        <w:rPr>
          <w:rFonts w:hint="eastAsia"/>
          <w:lang w:val="en-US" w:eastAsia="zh-CN"/>
        </w:rPr>
        <w:t>理化指标</w:t>
      </w:r>
      <w:bookmarkEnd w:id="18"/>
    </w:p>
    <w:p>
      <w:pPr>
        <w:pStyle w:val="24"/>
        <w:rPr>
          <w:rFonts w:hint="eastAsia"/>
        </w:rPr>
      </w:pPr>
      <w:r>
        <w:rPr>
          <w:rFonts w:hint="eastAsia"/>
        </w:rPr>
        <w:t>应符合表</w:t>
      </w:r>
      <w:r>
        <w:rPr>
          <w:rFonts w:hint="eastAsia"/>
          <w:lang w:val="en-US" w:eastAsia="zh-CN"/>
        </w:rPr>
        <w:t>2</w:t>
      </w:r>
      <w:r>
        <w:rPr>
          <w:rFonts w:hint="eastAsia"/>
        </w:rPr>
        <w:t>的</w:t>
      </w:r>
      <w:r>
        <w:rPr>
          <w:rFonts w:hint="eastAsia"/>
          <w:lang w:val="en-US" w:eastAsia="zh-CN"/>
        </w:rPr>
        <w:t>规定</w:t>
      </w:r>
      <w:r>
        <w:rPr>
          <w:rFonts w:hint="eastAsia"/>
        </w:rPr>
        <w:t>。</w:t>
      </w:r>
    </w:p>
    <w:p>
      <w:pPr>
        <w:pStyle w:val="112"/>
        <w:bidi w:val="0"/>
        <w:rPr>
          <w:rFonts w:hint="eastAsia"/>
        </w:rPr>
      </w:pPr>
      <w:r>
        <w:rPr>
          <w:rFonts w:hint="eastAsia"/>
          <w:lang w:val="en-US" w:eastAsia="zh-CN"/>
        </w:rPr>
        <w:t>理化指标</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2885"/>
        <w:gridCol w:w="3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vMerge w:val="restart"/>
            <w:vAlign w:val="center"/>
          </w:tcPr>
          <w:p>
            <w:pPr>
              <w:pStyle w:val="110"/>
              <w:widowControl w:val="0"/>
              <w:bidi w:val="0"/>
              <w:ind w:left="0" w:leftChars="0" w:firstLine="0" w:firstLineChars="0"/>
              <w:jc w:val="center"/>
              <w:rPr>
                <w:rFonts w:hint="eastAsia"/>
                <w:lang w:val="en-US" w:eastAsia="zh-CN"/>
              </w:rPr>
            </w:pPr>
            <w:r>
              <w:rPr>
                <w:rFonts w:hint="eastAsia"/>
                <w:lang w:val="en-US" w:eastAsia="zh-CN"/>
              </w:rPr>
              <w:t>项  目</w:t>
            </w:r>
          </w:p>
        </w:tc>
        <w:tc>
          <w:tcPr>
            <w:tcW w:w="3176" w:type="pct"/>
            <w:gridSpan w:val="2"/>
            <w:tcBorders>
              <w:bottom w:val="single" w:color="auto" w:sz="8" w:space="0"/>
            </w:tcBorders>
          </w:tcPr>
          <w:p>
            <w:pPr>
              <w:adjustRightInd/>
              <w:spacing w:line="240" w:lineRule="auto"/>
              <w:jc w:val="center"/>
              <w:rPr>
                <w:rFonts w:hint="eastAsia"/>
                <w:lang w:val="en-US" w:eastAsia="zh-CN"/>
              </w:rPr>
            </w:pPr>
            <w:r>
              <w:rPr>
                <w:rFonts w:hint="eastAsia" w:ascii="宋体" w:hAnsi="宋体"/>
                <w:color w:val="000000"/>
                <w:sz w:val="18"/>
                <w:szCs w:val="18"/>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823" w:type="pct"/>
            <w:vMerge w:val="continue"/>
          </w:tcPr>
          <w:p>
            <w:pPr>
              <w:pStyle w:val="110"/>
              <w:widowControl w:val="0"/>
              <w:bidi w:val="0"/>
              <w:jc w:val="center"/>
              <w:rPr>
                <w:rFonts w:hint="eastAsia"/>
                <w:lang w:val="en-US" w:eastAsia="zh-CN"/>
              </w:rPr>
            </w:pPr>
          </w:p>
        </w:tc>
        <w:tc>
          <w:tcPr>
            <w:tcW w:w="1507"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w:t>
            </w:r>
            <w:r>
              <w:rPr>
                <w:rFonts w:hint="eastAsia" w:hAnsi="宋体"/>
                <w:sz w:val="18"/>
                <w:szCs w:val="18"/>
                <w:lang w:val="en-US" w:eastAsia="zh-CN"/>
              </w:rPr>
              <w:t>桓仁</w:t>
            </w:r>
            <w:r>
              <w:rPr>
                <w:rFonts w:hint="eastAsia" w:ascii="宋体" w:hAnsi="宋体"/>
                <w:sz w:val="18"/>
                <w:szCs w:val="18"/>
                <w:lang w:val="en-US" w:eastAsia="zh-CN"/>
              </w:rPr>
              <w:t>红松籽</w:t>
            </w:r>
          </w:p>
        </w:tc>
        <w:tc>
          <w:tcPr>
            <w:tcW w:w="1668" w:type="pct"/>
            <w:tcBorders>
              <w:top w:val="single" w:color="auto" w:sz="8" w:space="0"/>
            </w:tcBorders>
            <w:vAlign w:val="center"/>
          </w:tcPr>
          <w:p>
            <w:pPr>
              <w:adjustRightInd/>
              <w:spacing w:line="240" w:lineRule="auto"/>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w:t>
            </w:r>
            <w:r>
              <w:rPr>
                <w:rFonts w:hint="eastAsia" w:hAnsi="宋体"/>
                <w:sz w:val="18"/>
                <w:szCs w:val="18"/>
                <w:lang w:val="en-US" w:eastAsia="zh-CN"/>
              </w:rPr>
              <w:t>桓仁</w:t>
            </w:r>
            <w:r>
              <w:rPr>
                <w:rFonts w:hint="eastAsia" w:ascii="宋体" w:hAnsi="宋体"/>
                <w:sz w:val="18"/>
                <w:szCs w:val="18"/>
                <w:lang w:val="en-US" w:eastAsia="zh-CN"/>
              </w:rPr>
              <w:t>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both"/>
              <w:rPr>
                <w:rFonts w:hint="default"/>
                <w:lang w:val="en-US" w:eastAsia="zh-CN"/>
              </w:rPr>
            </w:pPr>
            <w:r>
              <w:rPr>
                <w:rFonts w:hint="eastAsia" w:ascii="宋体" w:hAnsi="宋体" w:cs="宋体"/>
                <w:color w:val="000000"/>
                <w:sz w:val="18"/>
                <w:szCs w:val="18"/>
                <w:lang w:val="en-US" w:eastAsia="zh-CN"/>
              </w:rPr>
              <w:t xml:space="preserve">水分/%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10"/>
              <w:widowControl w:val="0"/>
              <w:bidi w:val="0"/>
              <w:jc w:val="center"/>
              <w:rPr>
                <w:rFonts w:hint="default"/>
                <w:lang w:val="en-US" w:eastAsia="zh-CN"/>
              </w:rPr>
            </w:pPr>
            <w:r>
              <w:rPr>
                <w:rFonts w:hint="eastAsia"/>
                <w:lang w:val="en-US" w:eastAsia="zh-CN"/>
              </w:rPr>
              <w:t>10.0</w:t>
            </w:r>
          </w:p>
        </w:tc>
        <w:tc>
          <w:tcPr>
            <w:tcW w:w="1668" w:type="pct"/>
          </w:tcPr>
          <w:p>
            <w:pPr>
              <w:pStyle w:val="110"/>
              <w:widowControl w:val="0"/>
              <w:bidi w:val="0"/>
              <w:jc w:val="center"/>
              <w:rPr>
                <w:rFonts w:hint="default"/>
                <w:lang w:val="en-US" w:eastAsia="zh-CN"/>
              </w:rPr>
            </w:pPr>
            <w:r>
              <w:rPr>
                <w:rFonts w:hint="eastAsia"/>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left"/>
              <w:rPr>
                <w:rFonts w:hint="default"/>
                <w:lang w:val="en-US" w:eastAsia="zh-CN"/>
              </w:rPr>
            </w:pPr>
            <w:r>
              <w:rPr>
                <w:rFonts w:hint="eastAsia" w:ascii="宋体" w:hAnsi="宋体" w:cs="宋体"/>
                <w:color w:val="000000"/>
                <w:kern w:val="0"/>
                <w:sz w:val="18"/>
                <w:szCs w:val="18"/>
                <w:lang w:val="en-US" w:eastAsia="zh-CN"/>
              </w:rPr>
              <w:t>脂肪</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10"/>
              <w:widowControl w:val="0"/>
              <w:bidi w:val="0"/>
              <w:jc w:val="center"/>
              <w:rPr>
                <w:rFonts w:hint="default"/>
                <w:lang w:val="en-US" w:eastAsia="zh-CN"/>
              </w:rPr>
            </w:pPr>
            <w:r>
              <w:rPr>
                <w:rFonts w:hint="eastAsia"/>
                <w:lang w:val="en-US" w:eastAsia="zh-CN"/>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right"/>
              <w:rPr>
                <w:rFonts w:hint="eastAsia"/>
                <w:lang w:val="en-US" w:eastAsia="zh-CN"/>
              </w:rPr>
            </w:pPr>
            <w:r>
              <w:rPr>
                <w:rFonts w:hint="eastAsia" w:ascii="宋体" w:hAnsi="宋体" w:cs="宋体"/>
                <w:color w:val="000000"/>
                <w:sz w:val="18"/>
                <w:szCs w:val="18"/>
                <w:lang w:val="en-US" w:eastAsia="zh-CN"/>
              </w:rPr>
              <w:t>酸价（以脂肪计）（KOH）/（mg/g）</w:t>
            </w:r>
            <w:r>
              <w:rPr>
                <w:rFonts w:hint="eastAsia" w:hAnsi="宋体" w:cs="宋体"/>
                <w:color w:val="000000"/>
                <w:sz w:val="18"/>
                <w:szCs w:val="18"/>
                <w:lang w:val="en-US" w:eastAsia="zh-CN"/>
              </w:rPr>
              <w:t xml:space="preserve">  </w:t>
            </w:r>
            <w:r>
              <w:rPr>
                <w:rFonts w:hint="eastAsia" w:ascii="宋体"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3176" w:type="pct"/>
            <w:gridSpan w:val="2"/>
          </w:tcPr>
          <w:p>
            <w:pPr>
              <w:pStyle w:val="110"/>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23" w:type="pct"/>
          </w:tcPr>
          <w:p>
            <w:pPr>
              <w:pStyle w:val="110"/>
              <w:widowControl w:val="0"/>
              <w:bidi w:val="0"/>
              <w:ind w:left="0" w:leftChars="0" w:firstLine="0" w:firstLineChars="0"/>
              <w:jc w:val="both"/>
              <w:rPr>
                <w:rFonts w:hint="eastAsia"/>
                <w:lang w:val="en-US" w:eastAsia="zh-CN"/>
              </w:rPr>
            </w:pPr>
            <w:r>
              <w:rPr>
                <w:rFonts w:hint="eastAsia" w:ascii="宋体" w:hAnsi="宋体" w:cs="宋体"/>
                <w:color w:val="000000"/>
                <w:sz w:val="18"/>
                <w:szCs w:val="18"/>
                <w:lang w:val="en-US" w:eastAsia="zh-CN"/>
              </w:rPr>
              <w:t xml:space="preserve">过氧化值（以脂肪计）/（g/100g） </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507" w:type="pct"/>
          </w:tcPr>
          <w:p>
            <w:pPr>
              <w:pStyle w:val="110"/>
              <w:widowControl w:val="0"/>
              <w:bidi w:val="0"/>
              <w:jc w:val="center"/>
              <w:rPr>
                <w:rFonts w:hint="default"/>
                <w:lang w:val="en-US" w:eastAsia="zh-CN"/>
              </w:rPr>
            </w:pPr>
            <w:r>
              <w:rPr>
                <w:rFonts w:hint="eastAsia"/>
                <w:lang w:val="en-US" w:eastAsia="zh-CN"/>
              </w:rPr>
              <w:t>0.08</w:t>
            </w:r>
          </w:p>
        </w:tc>
        <w:tc>
          <w:tcPr>
            <w:tcW w:w="1668" w:type="pct"/>
          </w:tcPr>
          <w:p>
            <w:pPr>
              <w:pStyle w:val="110"/>
              <w:widowControl w:val="0"/>
              <w:bidi w:val="0"/>
              <w:jc w:val="center"/>
              <w:rPr>
                <w:rFonts w:hint="default"/>
                <w:lang w:val="en-US" w:eastAsia="zh-CN"/>
              </w:rPr>
            </w:pPr>
            <w:r>
              <w:rPr>
                <w:rFonts w:hint="eastAsia"/>
                <w:lang w:val="en-US" w:eastAsia="zh-CN"/>
              </w:rPr>
              <w:t>0.50</w:t>
            </w:r>
          </w:p>
        </w:tc>
      </w:tr>
    </w:tbl>
    <w:p>
      <w:pPr>
        <w:pStyle w:val="72"/>
        <w:bidi w:val="0"/>
        <w:rPr>
          <w:rFonts w:hint="eastAsia"/>
          <w:lang w:val="en-US" w:eastAsia="zh-CN"/>
        </w:rPr>
      </w:pPr>
      <w:bookmarkStart w:id="19" w:name="_Toc30712"/>
      <w:r>
        <w:rPr>
          <w:rFonts w:hint="eastAsia"/>
          <w:lang w:val="en-US" w:eastAsia="zh-CN"/>
        </w:rPr>
        <w:t>质量等级</w:t>
      </w:r>
      <w:bookmarkEnd w:id="19"/>
    </w:p>
    <w:p>
      <w:pPr>
        <w:pStyle w:val="24"/>
        <w:rPr>
          <w:rFonts w:hint="eastAsia"/>
          <w:lang w:val="en-US" w:eastAsia="zh-CN"/>
        </w:rPr>
      </w:pPr>
      <w:r>
        <w:rPr>
          <w:rFonts w:hint="eastAsia"/>
          <w:lang w:val="en-US" w:eastAsia="zh-CN"/>
        </w:rPr>
        <w:t>应符合表3要求。</w:t>
      </w:r>
    </w:p>
    <w:p>
      <w:pPr>
        <w:pStyle w:val="112"/>
        <w:bidi w:val="0"/>
        <w:rPr>
          <w:rFonts w:hint="eastAsia"/>
          <w:lang w:val="en-US" w:eastAsia="zh-CN"/>
        </w:rPr>
      </w:pPr>
      <w:r>
        <w:rPr>
          <w:rFonts w:hint="eastAsia"/>
          <w:lang w:val="en-US" w:eastAsia="zh-CN"/>
        </w:rPr>
        <w:t>质量等级</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restart"/>
            <w:vAlign w:val="center"/>
          </w:tcPr>
          <w:p>
            <w:pPr>
              <w:pStyle w:val="110"/>
              <w:widowControl w:val="0"/>
              <w:bidi w:val="0"/>
              <w:ind w:left="0" w:leftChars="0" w:firstLine="0" w:firstLineChars="0"/>
              <w:jc w:val="center"/>
              <w:rPr>
                <w:rFonts w:hint="default"/>
                <w:lang w:val="en-US" w:eastAsia="zh-CN"/>
              </w:rPr>
            </w:pPr>
            <w:r>
              <w:rPr>
                <w:rFonts w:hint="eastAsia"/>
                <w:lang w:val="en-US" w:eastAsia="zh-CN"/>
              </w:rPr>
              <w:t>项目</w:t>
            </w:r>
          </w:p>
        </w:tc>
        <w:tc>
          <w:tcPr>
            <w:tcW w:w="4000" w:type="pct"/>
            <w:gridSpan w:val="4"/>
            <w:tcBorders>
              <w:bottom w:val="single" w:color="auto" w:sz="8" w:space="0"/>
            </w:tcBorders>
          </w:tcPr>
          <w:p>
            <w:pPr>
              <w:pStyle w:val="110"/>
              <w:widowControl w:val="0"/>
              <w:bidi w:val="0"/>
              <w:ind w:left="0" w:leftChars="0" w:firstLine="0" w:firstLineChars="0"/>
              <w:jc w:val="center"/>
              <w:rPr>
                <w:rFonts w:hint="eastAsia"/>
                <w:lang w:val="en-US" w:eastAsia="zh-CN"/>
              </w:rPr>
            </w:pPr>
            <w:r>
              <w:rPr>
                <w:rFonts w:hint="eastAsia"/>
                <w:lang w:val="en-US" w:eastAsia="zh-CN"/>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10"/>
              <w:widowControl w:val="0"/>
              <w:bidi w:val="0"/>
              <w:jc w:val="center"/>
              <w:rPr>
                <w:rFonts w:hint="eastAsia"/>
                <w:lang w:val="en-US" w:eastAsia="zh-CN"/>
              </w:rPr>
            </w:pPr>
          </w:p>
        </w:tc>
        <w:tc>
          <w:tcPr>
            <w:tcW w:w="2000" w:type="pct"/>
            <w:gridSpan w:val="2"/>
            <w:tcBorders>
              <w:top w:val="single" w:color="auto" w:sz="8" w:space="0"/>
            </w:tcBorders>
          </w:tcPr>
          <w:p>
            <w:pPr>
              <w:pStyle w:val="110"/>
              <w:widowControl w:val="0"/>
              <w:bidi w:val="0"/>
              <w:jc w:val="center"/>
              <w:rPr>
                <w:rFonts w:hint="eastAsia"/>
                <w:lang w:val="en-US" w:eastAsia="zh-CN"/>
              </w:rPr>
            </w:pPr>
            <w:r>
              <w:rPr>
                <w:rFonts w:hint="eastAsia" w:ascii="宋体" w:hAnsi="宋体"/>
                <w:sz w:val="18"/>
                <w:szCs w:val="18"/>
              </w:rPr>
              <w:t>生</w:t>
            </w:r>
            <w:r>
              <w:rPr>
                <w:rFonts w:hint="eastAsia" w:ascii="宋体" w:hAnsi="宋体"/>
                <w:sz w:val="18"/>
                <w:szCs w:val="18"/>
                <w:lang w:val="en-US" w:eastAsia="zh-CN"/>
              </w:rPr>
              <w:t>干</w:t>
            </w:r>
            <w:r>
              <w:rPr>
                <w:rFonts w:hint="eastAsia" w:hAnsi="宋体"/>
                <w:sz w:val="18"/>
                <w:szCs w:val="18"/>
                <w:lang w:val="en-US" w:eastAsia="zh-CN"/>
              </w:rPr>
              <w:t>桓仁</w:t>
            </w:r>
            <w:r>
              <w:rPr>
                <w:rFonts w:hint="eastAsia" w:ascii="宋体" w:hAnsi="宋体"/>
                <w:sz w:val="18"/>
                <w:szCs w:val="18"/>
                <w:lang w:val="en-US" w:eastAsia="zh-CN"/>
              </w:rPr>
              <w:t>红松籽</w:t>
            </w:r>
          </w:p>
        </w:tc>
        <w:tc>
          <w:tcPr>
            <w:tcW w:w="2000" w:type="pct"/>
            <w:gridSpan w:val="2"/>
            <w:tcBorders>
              <w:top w:val="single" w:color="auto" w:sz="8" w:space="0"/>
            </w:tcBorders>
          </w:tcPr>
          <w:p>
            <w:pPr>
              <w:pStyle w:val="110"/>
              <w:widowControl w:val="0"/>
              <w:bidi w:val="0"/>
              <w:jc w:val="center"/>
              <w:rPr>
                <w:rFonts w:hint="eastAsia"/>
                <w:lang w:val="en-US" w:eastAsia="zh-CN"/>
              </w:rPr>
            </w:pPr>
            <w:r>
              <w:rPr>
                <w:rFonts w:hint="eastAsia" w:ascii="宋体" w:hAnsi="宋体"/>
                <w:sz w:val="18"/>
                <w:szCs w:val="18"/>
              </w:rPr>
              <w:t>熟</w:t>
            </w:r>
            <w:r>
              <w:rPr>
                <w:rFonts w:hint="eastAsia" w:ascii="宋体" w:hAnsi="宋体"/>
                <w:sz w:val="18"/>
                <w:szCs w:val="18"/>
                <w:lang w:val="en-US" w:eastAsia="zh-CN"/>
              </w:rPr>
              <w:t>制</w:t>
            </w:r>
            <w:r>
              <w:rPr>
                <w:rFonts w:hint="eastAsia" w:hAnsi="宋体"/>
                <w:sz w:val="18"/>
                <w:szCs w:val="18"/>
                <w:lang w:val="en-US" w:eastAsia="zh-CN"/>
              </w:rPr>
              <w:t>桓仁</w:t>
            </w:r>
            <w:r>
              <w:rPr>
                <w:rFonts w:hint="eastAsia" w:ascii="宋体" w:hAnsi="宋体"/>
                <w:sz w:val="18"/>
                <w:szCs w:val="18"/>
                <w:lang w:val="en-US" w:eastAsia="zh-CN"/>
              </w:rPr>
              <w:t>红松籽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Merge w:val="continue"/>
          </w:tcPr>
          <w:p>
            <w:pPr>
              <w:pStyle w:val="110"/>
              <w:widowControl w:val="0"/>
              <w:bidi w:val="0"/>
              <w:jc w:val="center"/>
              <w:rPr>
                <w:rFonts w:hint="eastAsia"/>
                <w:lang w:val="en-US" w:eastAsia="zh-CN"/>
              </w:rPr>
            </w:pPr>
          </w:p>
        </w:tc>
        <w:tc>
          <w:tcPr>
            <w:tcW w:w="1000" w:type="pct"/>
          </w:tcPr>
          <w:p>
            <w:pPr>
              <w:pStyle w:val="110"/>
              <w:widowControl w:val="0"/>
              <w:bidi w:val="0"/>
              <w:jc w:val="center"/>
              <w:rPr>
                <w:rFonts w:hint="default"/>
                <w:lang w:val="en-US" w:eastAsia="zh-CN"/>
              </w:rPr>
            </w:pPr>
            <w:r>
              <w:rPr>
                <w:rFonts w:hint="eastAsia"/>
                <w:lang w:val="en-US" w:eastAsia="zh-CN"/>
              </w:rPr>
              <w:t>一级</w:t>
            </w:r>
          </w:p>
        </w:tc>
        <w:tc>
          <w:tcPr>
            <w:tcW w:w="1000" w:type="pct"/>
          </w:tcPr>
          <w:p>
            <w:pPr>
              <w:pStyle w:val="110"/>
              <w:widowControl w:val="0"/>
              <w:bidi w:val="0"/>
              <w:jc w:val="center"/>
              <w:rPr>
                <w:rFonts w:hint="default"/>
                <w:lang w:val="en-US" w:eastAsia="zh-CN"/>
              </w:rPr>
            </w:pPr>
            <w:r>
              <w:rPr>
                <w:rFonts w:hint="eastAsia"/>
                <w:lang w:val="en-US" w:eastAsia="zh-CN"/>
              </w:rPr>
              <w:t>二级</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一级</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lang w:val="en-US" w:eastAsia="zh-CN"/>
              </w:rPr>
              <w:t xml:space="preserve">千粒重/g         </w:t>
            </w:r>
            <w:r>
              <w:rPr>
                <w:rFonts w:hint="default" w:ascii="Arial" w:hAnsi="Arial" w:cs="Arial"/>
                <w:lang w:val="en-US" w:eastAsia="zh-CN"/>
              </w:rPr>
              <w:t>≥</w:t>
            </w:r>
          </w:p>
        </w:tc>
        <w:tc>
          <w:tcPr>
            <w:tcW w:w="1000" w:type="pct"/>
          </w:tcPr>
          <w:p>
            <w:pPr>
              <w:pStyle w:val="110"/>
              <w:widowControl w:val="0"/>
              <w:bidi w:val="0"/>
              <w:jc w:val="center"/>
              <w:rPr>
                <w:rFonts w:hint="default"/>
                <w:lang w:val="en-US" w:eastAsia="zh-CN"/>
              </w:rPr>
            </w:pPr>
            <w:r>
              <w:rPr>
                <w:rFonts w:hint="eastAsia"/>
                <w:lang w:val="en-US" w:eastAsia="zh-CN"/>
              </w:rPr>
              <w:t>6</w:t>
            </w:r>
            <w:r>
              <w:rPr>
                <w:rFonts w:hint="default"/>
                <w:lang w:val="en-US" w:eastAsia="zh-CN"/>
              </w:rPr>
              <w:t>0</w:t>
            </w:r>
            <w:r>
              <w:rPr>
                <w:rFonts w:hint="eastAsia"/>
                <w:lang w:val="en-US" w:eastAsia="zh-CN"/>
              </w:rPr>
              <w:t>0</w:t>
            </w:r>
          </w:p>
        </w:tc>
        <w:tc>
          <w:tcPr>
            <w:tcW w:w="1000" w:type="pct"/>
          </w:tcPr>
          <w:p>
            <w:pPr>
              <w:pStyle w:val="110"/>
              <w:widowControl w:val="0"/>
              <w:bidi w:val="0"/>
              <w:jc w:val="center"/>
              <w:rPr>
                <w:rFonts w:hint="default"/>
                <w:lang w:val="en-US" w:eastAsia="zh-CN"/>
              </w:rPr>
            </w:pPr>
            <w:r>
              <w:rPr>
                <w:rFonts w:hint="default"/>
                <w:lang w:val="en-US" w:eastAsia="zh-CN"/>
              </w:rPr>
              <w:t>55</w:t>
            </w:r>
            <w:r>
              <w:rPr>
                <w:rFonts w:hint="eastAsia"/>
                <w:lang w:val="en-US" w:eastAsia="zh-CN"/>
              </w:rPr>
              <w:t>0</w:t>
            </w:r>
          </w:p>
        </w:tc>
        <w:tc>
          <w:tcPr>
            <w:tcW w:w="1000" w:type="pct"/>
          </w:tcPr>
          <w:p>
            <w:pPr>
              <w:pStyle w:val="110"/>
              <w:widowControl w:val="0"/>
              <w:bidi w:val="0"/>
              <w:jc w:val="center"/>
              <w:rPr>
                <w:rFonts w:hint="default"/>
                <w:lang w:val="en-US" w:eastAsia="zh-CN"/>
              </w:rPr>
            </w:pPr>
            <w:r>
              <w:rPr>
                <w:rFonts w:hint="eastAsia"/>
                <w:lang w:val="en-US" w:eastAsia="zh-CN"/>
              </w:rPr>
              <w:t>500</w:t>
            </w:r>
          </w:p>
        </w:tc>
        <w:tc>
          <w:tcPr>
            <w:tcW w:w="1000" w:type="pct"/>
          </w:tcPr>
          <w:p>
            <w:pPr>
              <w:pStyle w:val="110"/>
              <w:widowControl w:val="0"/>
              <w:bidi w:val="0"/>
              <w:jc w:val="center"/>
              <w:rPr>
                <w:rFonts w:hint="default"/>
                <w:lang w:val="en-US" w:eastAsia="zh-CN"/>
              </w:rPr>
            </w:pPr>
            <w:r>
              <w:rPr>
                <w:rFonts w:hint="eastAsia"/>
                <w:lang w:val="en-US" w:eastAsia="zh-CN"/>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ascii="宋体" w:hAnsi="宋体" w:cs="宋体"/>
                <w:color w:val="000000"/>
                <w:kern w:val="0"/>
                <w:sz w:val="18"/>
                <w:szCs w:val="18"/>
                <w:lang w:val="en-US" w:eastAsia="zh-CN"/>
              </w:rPr>
              <w:t>出仁率</w:t>
            </w:r>
            <w:r>
              <w:rPr>
                <w:rFonts w:hint="eastAsia" w:ascii="宋体" w:hAnsi="宋体" w:cs="宋体"/>
                <w:color w:val="000000"/>
                <w:sz w:val="18"/>
                <w:szCs w:val="18"/>
                <w:lang w:val="en-US" w:eastAsia="zh-CN"/>
              </w:rPr>
              <w:t xml:space="preserve">/% </w:t>
            </w:r>
            <w:r>
              <w:rPr>
                <w:rFonts w:hint="eastAsia" w:hAnsi="宋体" w:cs="宋体"/>
                <w:color w:val="000000"/>
                <w:sz w:val="18"/>
                <w:szCs w:val="18"/>
                <w:lang w:val="en-US" w:eastAsia="zh-CN"/>
              </w:rPr>
              <w:t xml:space="preserve">       </w:t>
            </w:r>
            <w:r>
              <w:rPr>
                <w:rFonts w:hint="eastAsia"/>
                <w:lang w:val="en-US" w:eastAsia="zh-CN"/>
              </w:rPr>
              <w:t xml:space="preserve"> </w:t>
            </w:r>
            <w:r>
              <w:rPr>
                <w:rFonts w:hint="default" w:ascii="Arial" w:hAnsi="Arial" w:cs="Arial"/>
                <w:lang w:val="en-US" w:eastAsia="zh-CN"/>
              </w:rPr>
              <w:t>≥</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35</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30</w:t>
            </w:r>
          </w:p>
        </w:tc>
        <w:tc>
          <w:tcPr>
            <w:tcW w:w="1000" w:type="pct"/>
          </w:tcPr>
          <w:p>
            <w:pPr>
              <w:pStyle w:val="110"/>
              <w:widowControl w:val="0"/>
              <w:bidi w:val="0"/>
              <w:jc w:val="center"/>
              <w:rPr>
                <w:rFonts w:hint="default"/>
                <w:lang w:val="en-US" w:eastAsia="zh-CN"/>
              </w:rPr>
            </w:pPr>
            <w:r>
              <w:rPr>
                <w:rFonts w:hint="eastAsia"/>
                <w:lang w:val="en-US" w:eastAsia="zh-CN"/>
              </w:rPr>
              <w:t>35</w:t>
            </w:r>
          </w:p>
        </w:tc>
        <w:tc>
          <w:tcPr>
            <w:tcW w:w="1000" w:type="pct"/>
          </w:tcPr>
          <w:p>
            <w:pPr>
              <w:pStyle w:val="110"/>
              <w:widowControl w:val="0"/>
              <w:bidi w:val="0"/>
              <w:jc w:val="center"/>
              <w:rPr>
                <w:rFonts w:hint="default"/>
                <w:lang w:val="en-US" w:eastAsia="zh-CN"/>
              </w:rPr>
            </w:pPr>
            <w:r>
              <w:rPr>
                <w:rFonts w:hint="eastAsia"/>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tcPr>
          <w:p>
            <w:pPr>
              <w:pStyle w:val="110"/>
              <w:widowControl w:val="0"/>
              <w:bidi w:val="0"/>
              <w:ind w:left="0" w:leftChars="0" w:firstLine="0" w:firstLineChars="0"/>
              <w:jc w:val="both"/>
              <w:rPr>
                <w:rFonts w:hint="default"/>
                <w:lang w:val="en-US" w:eastAsia="zh-CN"/>
              </w:rPr>
            </w:pPr>
            <w:r>
              <w:rPr>
                <w:rFonts w:hint="eastAsia" w:hAnsi="宋体" w:cs="宋体"/>
                <w:color w:val="000000"/>
                <w:sz w:val="18"/>
                <w:szCs w:val="18"/>
                <w:lang w:val="en-US" w:eastAsia="zh-CN"/>
              </w:rPr>
              <w:t>饱满度</w:t>
            </w:r>
            <w:r>
              <w:rPr>
                <w:rFonts w:hint="eastAsia" w:ascii="宋体" w:hAnsi="宋体" w:cs="宋体"/>
                <w:color w:val="000000"/>
                <w:sz w:val="18"/>
                <w:szCs w:val="18"/>
                <w:lang w:val="en-US" w:eastAsia="zh-CN"/>
              </w:rPr>
              <w:t>/%</w:t>
            </w:r>
            <w:r>
              <w:rPr>
                <w:rFonts w:hint="eastAsia" w:hAnsi="宋体" w:cs="宋体"/>
                <w:color w:val="000000"/>
                <w:sz w:val="18"/>
                <w:szCs w:val="18"/>
                <w:lang w:val="en-US" w:eastAsia="zh-CN"/>
              </w:rPr>
              <w:t xml:space="preserve">         </w:t>
            </w:r>
            <w:r>
              <w:rPr>
                <w:rFonts w:hint="default" w:ascii="Arial" w:hAnsi="Arial" w:cs="Arial"/>
                <w:color w:val="000000"/>
                <w:sz w:val="18"/>
                <w:szCs w:val="18"/>
                <w:lang w:val="en-US" w:eastAsia="zh-CN"/>
              </w:rPr>
              <w:t>≤</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85</w:t>
            </w:r>
          </w:p>
        </w:tc>
        <w:tc>
          <w:tcPr>
            <w:tcW w:w="1000" w:type="pct"/>
            <w:vAlign w:val="top"/>
          </w:tcPr>
          <w:p>
            <w:pPr>
              <w:pStyle w:val="110"/>
              <w:widowControl w:val="0"/>
              <w:bidi w:val="0"/>
              <w:ind w:firstLine="360" w:firstLineChars="200"/>
              <w:jc w:val="center"/>
              <w:rPr>
                <w:rFonts w:hint="eastAsia"/>
                <w:lang w:val="en-US" w:eastAsia="zh-CN"/>
              </w:rPr>
            </w:pPr>
            <w:r>
              <w:rPr>
                <w:rFonts w:hint="eastAsia"/>
                <w:lang w:val="en-US" w:eastAsia="zh-CN"/>
              </w:rPr>
              <w:t>75</w:t>
            </w:r>
          </w:p>
        </w:tc>
        <w:tc>
          <w:tcPr>
            <w:tcW w:w="1000" w:type="pct"/>
          </w:tcPr>
          <w:p>
            <w:pPr>
              <w:pStyle w:val="110"/>
              <w:widowControl w:val="0"/>
              <w:bidi w:val="0"/>
              <w:jc w:val="center"/>
              <w:rPr>
                <w:rFonts w:hint="default"/>
                <w:lang w:val="en-US" w:eastAsia="zh-CN"/>
              </w:rPr>
            </w:pPr>
            <w:r>
              <w:rPr>
                <w:rFonts w:hint="eastAsia"/>
                <w:lang w:val="en-US" w:eastAsia="zh-CN"/>
              </w:rPr>
              <w:t>85</w:t>
            </w:r>
          </w:p>
        </w:tc>
        <w:tc>
          <w:tcPr>
            <w:tcW w:w="1000" w:type="pct"/>
          </w:tcPr>
          <w:p>
            <w:pPr>
              <w:pStyle w:val="110"/>
              <w:widowControl w:val="0"/>
              <w:bidi w:val="0"/>
              <w:jc w:val="center"/>
              <w:rPr>
                <w:rFonts w:hint="default"/>
                <w:lang w:val="en-US" w:eastAsia="zh-CN"/>
              </w:rPr>
            </w:pPr>
            <w:r>
              <w:rPr>
                <w:rFonts w:hint="eastAsia"/>
                <w:lang w:val="en-US" w:eastAsia="zh-CN"/>
              </w:rPr>
              <w:t>75</w:t>
            </w:r>
          </w:p>
        </w:tc>
      </w:tr>
    </w:tbl>
    <w:p>
      <w:pPr>
        <w:pStyle w:val="72"/>
        <w:bidi w:val="0"/>
        <w:rPr>
          <w:rFonts w:hint="eastAsia"/>
          <w:lang w:val="en-US" w:eastAsia="zh-CN"/>
        </w:rPr>
      </w:pPr>
      <w:bookmarkStart w:id="20" w:name="_Toc10342"/>
      <w:r>
        <w:rPr>
          <w:rFonts w:hint="eastAsia"/>
          <w:lang w:val="en-US" w:eastAsia="zh-CN"/>
        </w:rPr>
        <w:t>食品添加剂</w:t>
      </w:r>
      <w:bookmarkEnd w:id="20"/>
    </w:p>
    <w:p>
      <w:pPr>
        <w:pStyle w:val="24"/>
        <w:rPr>
          <w:rFonts w:hint="eastAsia"/>
          <w:lang w:val="en-US" w:eastAsia="zh-CN"/>
        </w:rPr>
      </w:pPr>
      <w:r>
        <w:rPr>
          <w:rFonts w:hint="eastAsia"/>
          <w:lang w:val="en-US" w:eastAsia="zh-CN"/>
        </w:rPr>
        <w:t>食品添加剂的使用应符合GB 2760的规定。</w:t>
      </w:r>
    </w:p>
    <w:p>
      <w:pPr>
        <w:pStyle w:val="72"/>
        <w:bidi w:val="0"/>
        <w:rPr>
          <w:rFonts w:hint="eastAsia"/>
          <w:lang w:val="en-US" w:eastAsia="zh-CN"/>
        </w:rPr>
      </w:pPr>
      <w:bookmarkStart w:id="21" w:name="_Toc14049"/>
      <w:r>
        <w:rPr>
          <w:rFonts w:hint="eastAsia"/>
          <w:lang w:val="en-US" w:eastAsia="zh-CN"/>
        </w:rPr>
        <w:t>真菌毒素限量</w:t>
      </w:r>
      <w:bookmarkEnd w:id="21"/>
    </w:p>
    <w:p>
      <w:pPr>
        <w:pStyle w:val="24"/>
        <w:rPr>
          <w:rFonts w:hint="eastAsia"/>
          <w:lang w:val="en-US" w:eastAsia="zh-CN"/>
        </w:rPr>
      </w:pPr>
      <w:r>
        <w:rPr>
          <w:rFonts w:hint="eastAsia"/>
          <w:lang w:val="en-US" w:eastAsia="zh-CN"/>
        </w:rPr>
        <w:t>真菌毒素限量应符合GB 2761的规定。</w:t>
      </w:r>
    </w:p>
    <w:p>
      <w:pPr>
        <w:pStyle w:val="72"/>
        <w:spacing w:before="156" w:after="156"/>
        <w:ind w:left="0"/>
      </w:pPr>
      <w:bookmarkStart w:id="22" w:name="_Toc20109"/>
      <w:r>
        <w:rPr>
          <w:rFonts w:hint="eastAsia"/>
          <w:lang w:val="en-US" w:eastAsia="zh-CN"/>
        </w:rPr>
        <w:t>污染物限量</w:t>
      </w:r>
      <w:bookmarkEnd w:id="22"/>
    </w:p>
    <w:p>
      <w:pPr>
        <w:pStyle w:val="24"/>
      </w:pPr>
      <w:r>
        <w:rPr>
          <w:rFonts w:hint="eastAsia"/>
          <w:lang w:val="en-US" w:eastAsia="zh-CN"/>
        </w:rPr>
        <w:t>污染物限量应符合GB 2762的规定。</w:t>
      </w:r>
    </w:p>
    <w:p>
      <w:pPr>
        <w:pStyle w:val="72"/>
        <w:spacing w:before="156" w:after="156"/>
        <w:ind w:left="0"/>
      </w:pPr>
      <w:bookmarkStart w:id="23" w:name="_Toc5854"/>
      <w:r>
        <w:rPr>
          <w:rFonts w:hint="eastAsia"/>
          <w:lang w:val="en-US" w:eastAsia="zh-CN"/>
        </w:rPr>
        <w:t>微生物限量</w:t>
      </w:r>
      <w:bookmarkEnd w:id="23"/>
    </w:p>
    <w:p>
      <w:pPr>
        <w:pStyle w:val="73"/>
        <w:bidi w:val="0"/>
        <w:rPr>
          <w:rFonts w:hint="default"/>
          <w:lang w:val="en-US" w:eastAsia="zh-CN"/>
        </w:rPr>
      </w:pPr>
      <w:r>
        <w:rPr>
          <w:rFonts w:hint="eastAsia" w:ascii="宋体" w:hAnsi="Times New Roman" w:eastAsia="宋体" w:cs="Times New Roman"/>
          <w:sz w:val="21"/>
          <w:lang w:val="en-US" w:eastAsia="zh-CN" w:bidi="ar-SA"/>
        </w:rPr>
        <w:t>致病菌限量应符合GB 29921的规定。</w:t>
      </w:r>
    </w:p>
    <w:p>
      <w:pPr>
        <w:pStyle w:val="73"/>
        <w:bidi w:val="0"/>
        <w:rPr>
          <w:rFonts w:hint="default"/>
          <w:lang w:val="en-US" w:eastAsia="zh-CN"/>
        </w:rPr>
      </w:pPr>
      <w:r>
        <w:rPr>
          <w:rFonts w:hint="eastAsia" w:ascii="宋体" w:hAnsi="Times New Roman" w:eastAsia="宋体" w:cs="Times New Roman"/>
          <w:sz w:val="21"/>
          <w:lang w:val="en-US" w:eastAsia="zh-CN" w:bidi="ar-SA"/>
        </w:rPr>
        <w:t>微生物限量应符合GB 19300的规定。</w:t>
      </w:r>
    </w:p>
    <w:p>
      <w:pPr>
        <w:pStyle w:val="72"/>
        <w:bidi w:val="0"/>
        <w:rPr>
          <w:rFonts w:hint="default"/>
          <w:lang w:val="en-US" w:eastAsia="zh-CN"/>
        </w:rPr>
      </w:pPr>
      <w:bookmarkStart w:id="24" w:name="_Toc17885"/>
      <w:r>
        <w:rPr>
          <w:rFonts w:hint="eastAsia"/>
          <w:lang w:val="en-US" w:eastAsia="zh-CN"/>
        </w:rPr>
        <w:t>净含量偏差</w:t>
      </w:r>
      <w:bookmarkEnd w:id="24"/>
    </w:p>
    <w:p>
      <w:pPr>
        <w:pStyle w:val="24"/>
        <w:rPr>
          <w:rFonts w:hint="default"/>
          <w:lang w:val="en-US"/>
        </w:rPr>
      </w:pPr>
      <w:r>
        <w:rPr>
          <w:rFonts w:hint="eastAsia"/>
          <w:lang w:val="en-US" w:eastAsia="zh-CN"/>
        </w:rPr>
        <w:t>净含量偏差应符合《定量包装商品计量监督管理办法》的规定。</w:t>
      </w:r>
    </w:p>
    <w:p>
      <w:pPr>
        <w:pStyle w:val="71"/>
        <w:bidi w:val="0"/>
        <w:rPr>
          <w:rFonts w:hint="default"/>
          <w:lang w:val="en-US" w:eastAsia="zh-CN"/>
        </w:rPr>
      </w:pPr>
      <w:bookmarkStart w:id="25" w:name="_Toc16186"/>
      <w:r>
        <w:rPr>
          <w:rFonts w:hint="eastAsia"/>
          <w:lang w:val="en-US" w:eastAsia="zh-CN"/>
        </w:rPr>
        <w:t>检验方法</w:t>
      </w:r>
      <w:bookmarkEnd w:id="25"/>
    </w:p>
    <w:p>
      <w:pPr>
        <w:pStyle w:val="72"/>
        <w:bidi w:val="0"/>
        <w:rPr>
          <w:rFonts w:hint="default"/>
          <w:lang w:val="en-US" w:eastAsia="zh-CN"/>
        </w:rPr>
      </w:pPr>
      <w:bookmarkStart w:id="26" w:name="_Toc9604"/>
      <w:r>
        <w:rPr>
          <w:rFonts w:hint="eastAsia"/>
          <w:lang w:val="en-US" w:eastAsia="zh-CN"/>
        </w:rPr>
        <w:t>感官</w:t>
      </w:r>
      <w:bookmarkEnd w:id="26"/>
      <w:r>
        <w:rPr>
          <w:rFonts w:hint="eastAsia"/>
          <w:lang w:val="en-US" w:eastAsia="zh-CN"/>
        </w:rPr>
        <w:t>检验</w:t>
      </w:r>
    </w:p>
    <w:p>
      <w:pPr>
        <w:pStyle w:val="121"/>
        <w:keepNext w:val="0"/>
        <w:keepLines w:val="0"/>
        <w:pageBreakBefore w:val="0"/>
        <w:numPr>
          <w:ilvl w:val="1"/>
          <w:numId w:val="0"/>
        </w:numPr>
        <w:kinsoku/>
        <w:wordWrap/>
        <w:overflowPunct/>
        <w:topLinePunct w:val="0"/>
        <w:bidi w:val="0"/>
        <w:adjustRightInd/>
        <w:snapToGrid/>
        <w:spacing w:before="0" w:beforeLines="0" w:after="0" w:afterLines="0"/>
        <w:ind w:leftChars="0" w:firstLine="420" w:firstLineChars="200"/>
        <w:textAlignment w:val="auto"/>
        <w:rPr>
          <w:rFonts w:hint="default" w:eastAsia="宋体"/>
          <w:lang w:val="en-US" w:eastAsia="zh-CN"/>
        </w:rPr>
      </w:pPr>
      <w:r>
        <w:rPr>
          <w:rFonts w:hint="eastAsia"/>
        </w:rPr>
        <w:t>在自然光或</w:t>
      </w:r>
      <w:r>
        <w:rPr>
          <w:rFonts w:hint="eastAsia" w:asciiTheme="minorEastAsia" w:hAnsiTheme="minorEastAsia" w:eastAsiaTheme="minorEastAsia" w:cstheme="minorEastAsia"/>
          <w:kern w:val="2"/>
          <w:sz w:val="21"/>
          <w:szCs w:val="21"/>
          <w:lang w:val="en-US" w:eastAsia="zh-CN" w:bidi="ar-SA"/>
        </w:rPr>
        <w:t>20W</w:t>
      </w:r>
      <w:r>
        <w:rPr>
          <w:rFonts w:hint="eastAsia" w:ascii="Times New Roman" w:hAnsi="Times New Roman" w:eastAsia="宋体" w:cs="Times New Roman"/>
          <w:kern w:val="2"/>
          <w:sz w:val="21"/>
          <w:szCs w:val="21"/>
          <w:lang w:val="en-US" w:eastAsia="zh-CN" w:bidi="ar-SA"/>
        </w:rPr>
        <w:t>的</w:t>
      </w:r>
      <w:r>
        <w:rPr>
          <w:rFonts w:hint="eastAsia"/>
        </w:rPr>
        <w:t>白炽灯下，将样品置于洁净、干燥的白瓷盘中，目测</w:t>
      </w:r>
      <w:r>
        <w:rPr>
          <w:rFonts w:hint="eastAsia"/>
          <w:lang w:val="en-US" w:eastAsia="zh-CN"/>
        </w:rPr>
        <w:t>及品尝。</w:t>
      </w:r>
    </w:p>
    <w:p>
      <w:pPr>
        <w:pStyle w:val="72"/>
        <w:bidi w:val="0"/>
        <w:rPr>
          <w:rFonts w:hint="default"/>
          <w:lang w:val="en-US" w:eastAsia="zh-CN"/>
        </w:rPr>
      </w:pPr>
      <w:bookmarkStart w:id="27" w:name="_Toc2871"/>
      <w:r>
        <w:rPr>
          <w:rFonts w:hint="eastAsia"/>
          <w:lang w:val="en-US" w:eastAsia="zh-CN"/>
        </w:rPr>
        <w:t>理化指标</w:t>
      </w:r>
      <w:bookmarkEnd w:id="27"/>
    </w:p>
    <w:p>
      <w:pPr>
        <w:pStyle w:val="73"/>
        <w:bidi w:val="0"/>
        <w:rPr>
          <w:rFonts w:hint="default"/>
          <w:lang w:val="en-US" w:eastAsia="zh-CN"/>
        </w:rPr>
      </w:pPr>
      <w:r>
        <w:rPr>
          <w:rFonts w:hint="eastAsia"/>
          <w:lang w:val="en-US" w:eastAsia="zh-CN"/>
        </w:rPr>
        <w:t>水分</w:t>
      </w:r>
    </w:p>
    <w:p>
      <w:pPr>
        <w:pStyle w:val="24"/>
        <w:rPr>
          <w:rFonts w:hint="default"/>
          <w:lang w:val="en-US" w:eastAsia="zh-CN"/>
        </w:rPr>
      </w:pPr>
      <w:r>
        <w:rPr>
          <w:rFonts w:hint="default"/>
          <w:lang w:val="en-US" w:eastAsia="zh-CN"/>
        </w:rPr>
        <w:t>按GB 5009.3 的规定执行。</w:t>
      </w:r>
    </w:p>
    <w:p>
      <w:pPr>
        <w:pStyle w:val="73"/>
        <w:bidi w:val="0"/>
        <w:rPr>
          <w:rFonts w:hint="default"/>
          <w:lang w:val="en-US" w:eastAsia="zh-CN"/>
        </w:rPr>
      </w:pPr>
      <w:r>
        <w:rPr>
          <w:rFonts w:hint="eastAsia"/>
          <w:lang w:val="en-US" w:eastAsia="zh-CN"/>
        </w:rPr>
        <w:t>脂肪</w:t>
      </w:r>
    </w:p>
    <w:p>
      <w:pPr>
        <w:pStyle w:val="24"/>
        <w:ind w:firstLine="420"/>
        <w:rPr>
          <w:rFonts w:hint="eastAsia"/>
        </w:rPr>
      </w:pPr>
      <w:r>
        <w:rPr>
          <w:rFonts w:hint="eastAsia"/>
        </w:rPr>
        <w:t xml:space="preserve">按GB </w:t>
      </w:r>
      <w:r>
        <w:rPr>
          <w:rFonts w:hint="eastAsia"/>
          <w:lang w:val="en-US" w:eastAsia="zh-CN"/>
        </w:rPr>
        <w:t>5009.6 的规定执行</w:t>
      </w:r>
      <w:r>
        <w:rPr>
          <w:rFonts w:hint="eastAsia"/>
        </w:rPr>
        <w:t>。</w:t>
      </w:r>
    </w:p>
    <w:p>
      <w:pPr>
        <w:pStyle w:val="73"/>
        <w:bidi w:val="0"/>
        <w:rPr>
          <w:rFonts w:hint="default"/>
          <w:lang w:val="en-US" w:eastAsia="zh-CN"/>
        </w:rPr>
      </w:pPr>
      <w:r>
        <w:rPr>
          <w:rFonts w:hint="eastAsia"/>
          <w:lang w:val="en-US" w:eastAsia="zh-CN"/>
        </w:rPr>
        <w:t>酸价</w:t>
      </w:r>
    </w:p>
    <w:p>
      <w:pPr>
        <w:pStyle w:val="24"/>
        <w:ind w:firstLine="420"/>
        <w:rPr>
          <w:rFonts w:hint="eastAsia"/>
        </w:rPr>
      </w:pPr>
      <w:r>
        <w:rPr>
          <w:rFonts w:hint="eastAsia"/>
        </w:rPr>
        <w:t xml:space="preserve">按GB </w:t>
      </w:r>
      <w:r>
        <w:rPr>
          <w:rFonts w:hint="eastAsia"/>
          <w:lang w:val="en-US" w:eastAsia="zh-CN"/>
        </w:rPr>
        <w:t>5009.229 的规定执行</w:t>
      </w:r>
      <w:r>
        <w:rPr>
          <w:rFonts w:hint="eastAsia"/>
        </w:rPr>
        <w:t>。</w:t>
      </w:r>
    </w:p>
    <w:p>
      <w:pPr>
        <w:pStyle w:val="73"/>
        <w:bidi w:val="0"/>
        <w:rPr>
          <w:rFonts w:hint="default"/>
          <w:lang w:val="en-US" w:eastAsia="zh-CN"/>
        </w:rPr>
      </w:pPr>
      <w:r>
        <w:rPr>
          <w:rFonts w:hint="eastAsia"/>
          <w:lang w:val="en-US" w:eastAsia="zh-CN"/>
        </w:rPr>
        <w:t>过氧化值</w:t>
      </w:r>
    </w:p>
    <w:p>
      <w:pPr>
        <w:pStyle w:val="24"/>
        <w:ind w:firstLine="420"/>
        <w:rPr>
          <w:rFonts w:hint="eastAsia"/>
        </w:rPr>
      </w:pPr>
      <w:r>
        <w:rPr>
          <w:rFonts w:hint="eastAsia"/>
        </w:rPr>
        <w:t xml:space="preserve">按GB </w:t>
      </w:r>
      <w:r>
        <w:rPr>
          <w:rFonts w:hint="eastAsia"/>
          <w:lang w:val="en-US" w:eastAsia="zh-CN"/>
        </w:rPr>
        <w:t>5009.227 的规定执行</w:t>
      </w:r>
      <w:r>
        <w:rPr>
          <w:rFonts w:hint="eastAsia"/>
        </w:rPr>
        <w:t>。</w:t>
      </w:r>
    </w:p>
    <w:p>
      <w:pPr>
        <w:pStyle w:val="72"/>
        <w:bidi w:val="0"/>
        <w:rPr>
          <w:rFonts w:hint="default"/>
          <w:lang w:val="en-US" w:eastAsia="zh-CN"/>
        </w:rPr>
      </w:pPr>
      <w:bookmarkStart w:id="28" w:name="_Toc8543"/>
      <w:r>
        <w:rPr>
          <w:rFonts w:hint="eastAsia"/>
          <w:lang w:val="en-US" w:eastAsia="zh-CN"/>
        </w:rPr>
        <w:t>质量</w:t>
      </w:r>
      <w:bookmarkEnd w:id="28"/>
      <w:r>
        <w:rPr>
          <w:rFonts w:hint="eastAsia"/>
          <w:lang w:val="en-US" w:eastAsia="zh-CN"/>
        </w:rPr>
        <w:t>等级</w:t>
      </w:r>
    </w:p>
    <w:p>
      <w:pPr>
        <w:pStyle w:val="73"/>
        <w:bidi w:val="0"/>
        <w:rPr>
          <w:rFonts w:hint="default"/>
          <w:lang w:val="en-US" w:eastAsia="zh-CN"/>
        </w:rPr>
      </w:pPr>
      <w:r>
        <w:rPr>
          <w:rFonts w:hint="eastAsia"/>
          <w:lang w:val="en-US" w:eastAsia="zh-CN"/>
        </w:rPr>
        <w:t>千粒重</w:t>
      </w:r>
    </w:p>
    <w:p>
      <w:pPr>
        <w:pStyle w:val="24"/>
        <w:rPr>
          <w:rFonts w:hint="eastAsia"/>
          <w:lang w:val="en-US" w:eastAsia="zh-CN"/>
        </w:rPr>
      </w:pPr>
      <w:r>
        <w:rPr>
          <w:rFonts w:hint="eastAsia"/>
          <w:lang w:val="en-US" w:eastAsia="zh-CN"/>
        </w:rPr>
        <w:t>随机取出大约500粒试样，挑出完整粒并称量（</w:t>
      </w:r>
      <w:r>
        <w:rPr>
          <w:rFonts w:hint="eastAsia"/>
          <w:i/>
          <w:iCs/>
          <w:lang w:val="en-US" w:eastAsia="zh-CN"/>
        </w:rPr>
        <w:t>m</w:t>
      </w:r>
      <w:r>
        <w:rPr>
          <w:rFonts w:hint="eastAsia"/>
          <w:i/>
          <w:iCs/>
          <w:vertAlign w:val="subscript"/>
          <w:lang w:val="en-US" w:eastAsia="zh-CN"/>
        </w:rPr>
        <w:t>1</w:t>
      </w:r>
      <w:r>
        <w:rPr>
          <w:rFonts w:hint="eastAsia"/>
          <w:lang w:val="en-US" w:eastAsia="zh-CN"/>
        </w:rPr>
        <w:t>），精确到0.01g；记录完整粒的粒数（</w:t>
      </w:r>
      <w:r>
        <w:rPr>
          <w:rFonts w:hint="eastAsia"/>
          <w:i/>
          <w:iCs/>
          <w:lang w:val="en-US" w:eastAsia="zh-CN"/>
        </w:rPr>
        <w:t>N</w:t>
      </w:r>
      <w:r>
        <w:rPr>
          <w:rFonts w:hint="eastAsia"/>
          <w:lang w:val="en-US" w:eastAsia="zh-CN"/>
        </w:rPr>
        <w:t>），则千粒重按式（1）计算：</w:t>
      </w:r>
    </w:p>
    <w:p>
      <w:pPr>
        <w:pStyle w:val="109"/>
        <w:bidi w:val="0"/>
        <w:rPr>
          <w:rFonts w:hint="eastAsia"/>
          <w:lang w:val="en-US" w:eastAsia="zh-CN"/>
        </w:rPr>
      </w:pPr>
      <w:r>
        <w:rPr>
          <w:rFonts w:hint="eastAsia"/>
          <w:lang w:val="en-US" w:eastAsia="zh-CN"/>
        </w:rPr>
        <w:tab/>
      </w:r>
      <w:r>
        <w:rPr>
          <w:rFonts w:hint="eastAsia"/>
          <w:position w:val="-24"/>
          <w:lang w:val="en-US" w:eastAsia="zh-CN"/>
        </w:rPr>
        <w:object>
          <v:shape id="_x0000_i1025" o:spt="75" type="#_x0000_t75" style="height:29pt;width:7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lang w:val="en-US" w:eastAsia="zh-CN"/>
        </w:rPr>
        <w:tab/>
      </w:r>
      <w:r>
        <w:rPr>
          <w:rFonts w:hint="eastAsia"/>
          <w:lang w:val="en-US" w:eastAsia="zh-CN"/>
        </w:rPr>
        <w:t>(</w:t>
      </w:r>
      <w:r>
        <w:rPr>
          <w:rFonts w:hint="eastAsia"/>
          <w:lang w:val="en-US" w:eastAsia="zh-CN"/>
        </w:rPr>
        <w:fldChar w:fldCharType="begin"/>
      </w:r>
      <w:r>
        <w:rPr>
          <w:rFonts w:hint="eastAsia"/>
          <w:lang w:val="en-US" w:eastAsia="zh-CN"/>
        </w:rPr>
        <w:instrText xml:space="preserve"> AUTONUM  \* Arabic  </w:instrText>
      </w:r>
      <w:r>
        <w:rPr>
          <w:rFonts w:hint="eastAsia"/>
          <w:lang w:val="en-US" w:eastAsia="zh-CN"/>
        </w:rPr>
        <w:fldChar w:fldCharType="end"/>
      </w:r>
      <w:r>
        <w:rPr>
          <w:rFonts w:hint="eastAsia"/>
          <w:lang w:val="en-US" w:eastAsia="zh-CN"/>
        </w:rPr>
        <w:t>)</w:t>
      </w:r>
    </w:p>
    <w:p>
      <w:pPr>
        <w:pStyle w:val="24"/>
        <w:bidi w:val="0"/>
        <w:rPr>
          <w:rFonts w:hint="eastAsia"/>
          <w:lang w:val="en-US" w:eastAsia="zh-CN"/>
        </w:rPr>
      </w:pPr>
      <w:r>
        <w:rPr>
          <w:rFonts w:hint="eastAsia"/>
          <w:lang w:val="en-US" w:eastAsia="zh-CN"/>
        </w:rPr>
        <w:t>式中：</w:t>
      </w:r>
    </w:p>
    <w:p>
      <w:pPr>
        <w:pStyle w:val="24"/>
        <w:bidi w:val="0"/>
        <w:rPr>
          <w:rFonts w:hint="eastAsia" w:hAnsi="宋体" w:cs="宋体"/>
          <w:vertAlign w:val="baseline"/>
          <w:lang w:val="en-US" w:eastAsia="zh-CN"/>
        </w:rPr>
      </w:pPr>
      <w:r>
        <w:rPr>
          <w:rFonts w:hint="eastAsia"/>
          <w:lang w:val="en-US" w:eastAsia="zh-CN"/>
        </w:rPr>
        <w:t>m</w:t>
      </w:r>
      <w:r>
        <w:rPr>
          <w:rFonts w:hint="eastAsia"/>
          <w:vertAlign w:val="subscript"/>
          <w:lang w:val="en-US" w:eastAsia="zh-CN"/>
        </w:rPr>
        <w:t>1</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千粒重，单位为克（g）；</w:t>
      </w:r>
    </w:p>
    <w:p>
      <w:pPr>
        <w:pStyle w:val="24"/>
        <w:bidi w:val="0"/>
        <w:rPr>
          <w:rFonts w:hint="eastAsia" w:hAnsi="宋体" w:cs="宋体"/>
          <w:vertAlign w:val="baseline"/>
          <w:lang w:val="en-US" w:eastAsia="zh-CN"/>
        </w:rPr>
      </w:pPr>
      <w:r>
        <w:rPr>
          <w:rFonts w:hint="eastAsia" w:hAnsi="宋体" w:cs="宋体"/>
          <w:vertAlign w:val="baseline"/>
          <w:lang w:val="en-US" w:eastAsia="zh-CN"/>
        </w:rPr>
        <w:t>m</w:t>
      </w:r>
      <w:r>
        <w:rPr>
          <w:rFonts w:hint="eastAsia" w:hAnsi="宋体" w:cs="宋体"/>
          <w:vertAlign w:val="subscript"/>
          <w:lang w:val="en-US" w:eastAsia="zh-CN"/>
        </w:rPr>
        <w:t>t</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完整粒的质量，单位为克（g）；</w:t>
      </w:r>
    </w:p>
    <w:p>
      <w:pPr>
        <w:pStyle w:val="24"/>
        <w:bidi w:val="0"/>
        <w:rPr>
          <w:rFonts w:hint="eastAsia" w:hAnsi="宋体" w:cs="宋体"/>
          <w:vertAlign w:val="baseline"/>
          <w:lang w:val="en-US" w:eastAsia="zh-CN"/>
        </w:rPr>
      </w:pPr>
      <w:r>
        <w:rPr>
          <w:rFonts w:hint="eastAsia" w:hAnsi="宋体" w:cs="宋体"/>
          <w:vertAlign w:val="baseline"/>
          <w:lang w:val="en-US" w:eastAsia="zh-CN"/>
        </w:rPr>
        <w:t>N</w:t>
      </w:r>
      <w:r>
        <w:rPr>
          <w:rFonts w:hint="eastAsia" w:ascii="微软雅黑" w:hAnsi="微软雅黑" w:eastAsia="微软雅黑" w:cs="微软雅黑"/>
          <w:vertAlign w:val="baseline"/>
          <w:lang w:val="en-US" w:eastAsia="zh-CN"/>
        </w:rPr>
        <w:t>——</w:t>
      </w:r>
      <w:r>
        <w:rPr>
          <w:rFonts w:hint="eastAsia" w:hAnsi="宋体" w:cs="宋体"/>
          <w:vertAlign w:val="baseline"/>
          <w:lang w:val="en-US" w:eastAsia="zh-CN"/>
        </w:rPr>
        <w:t>m</w:t>
      </w:r>
      <w:r>
        <w:rPr>
          <w:rFonts w:hint="eastAsia" w:hAnsi="宋体" w:cs="宋体"/>
          <w:vertAlign w:val="subscript"/>
          <w:lang w:val="en-US" w:eastAsia="zh-CN"/>
        </w:rPr>
        <w:t>t</w:t>
      </w:r>
      <w:r>
        <w:rPr>
          <w:rFonts w:hint="eastAsia" w:hAnsi="宋体" w:cs="宋体"/>
          <w:vertAlign w:val="baseline"/>
          <w:lang w:val="en-US" w:eastAsia="zh-CN"/>
        </w:rPr>
        <w:t>质量中完整粒的粒数。</w:t>
      </w:r>
    </w:p>
    <w:p>
      <w:pPr>
        <w:pStyle w:val="73"/>
        <w:bidi w:val="0"/>
        <w:rPr>
          <w:rFonts w:hint="default"/>
          <w:lang w:val="en-US" w:eastAsia="zh-CN"/>
        </w:rPr>
      </w:pPr>
      <w:r>
        <w:rPr>
          <w:rFonts w:hint="eastAsia"/>
          <w:lang w:val="en-US" w:eastAsia="zh-CN"/>
        </w:rPr>
        <w:t>出仁率、饱满度</w:t>
      </w:r>
    </w:p>
    <w:p>
      <w:pPr>
        <w:pStyle w:val="24"/>
        <w:ind w:firstLine="420"/>
        <w:rPr>
          <w:rFonts w:hint="eastAsia"/>
        </w:rPr>
      </w:pPr>
      <w:r>
        <w:rPr>
          <w:rFonts w:hint="eastAsia"/>
        </w:rPr>
        <w:t>按</w:t>
      </w:r>
      <w:r>
        <w:rPr>
          <w:rFonts w:hint="eastAsia"/>
          <w:lang w:val="en-US" w:eastAsia="zh-CN"/>
        </w:rPr>
        <w:t>LY</w:t>
      </w:r>
      <w:r>
        <w:rPr>
          <w:rFonts w:hint="eastAsia"/>
        </w:rPr>
        <w:t xml:space="preserve">/T </w:t>
      </w:r>
      <w:r>
        <w:rPr>
          <w:rFonts w:hint="eastAsia"/>
          <w:lang w:val="en-US" w:eastAsia="zh-CN"/>
        </w:rPr>
        <w:t>1921的规定执行</w:t>
      </w:r>
      <w:r>
        <w:rPr>
          <w:rFonts w:hint="eastAsia"/>
        </w:rPr>
        <w:t>。</w:t>
      </w:r>
    </w:p>
    <w:p>
      <w:pPr>
        <w:pStyle w:val="72"/>
        <w:bidi w:val="0"/>
        <w:rPr>
          <w:rFonts w:hint="eastAsia"/>
        </w:rPr>
      </w:pPr>
      <w:r>
        <w:rPr>
          <w:rFonts w:hint="eastAsia"/>
          <w:lang w:val="en-US" w:eastAsia="zh-CN"/>
        </w:rPr>
        <w:t>食品添加剂</w:t>
      </w:r>
    </w:p>
    <w:p>
      <w:pPr>
        <w:pStyle w:val="24"/>
        <w:rPr>
          <w:rFonts w:hint="eastAsia"/>
          <w:lang w:val="en-US" w:eastAsia="zh-CN"/>
        </w:rPr>
      </w:pPr>
      <w:r>
        <w:rPr>
          <w:rFonts w:hint="eastAsia"/>
          <w:lang w:val="en-US" w:eastAsia="zh-CN"/>
        </w:rPr>
        <w:t>按GB 2760的规定执行。</w:t>
      </w:r>
    </w:p>
    <w:p>
      <w:pPr>
        <w:pStyle w:val="72"/>
        <w:bidi w:val="0"/>
        <w:rPr>
          <w:rFonts w:hint="eastAsia"/>
        </w:rPr>
      </w:pPr>
      <w:r>
        <w:rPr>
          <w:rFonts w:hint="eastAsia"/>
          <w:lang w:val="en-US" w:eastAsia="zh-CN"/>
        </w:rPr>
        <w:t>真菌毒素限量</w:t>
      </w:r>
    </w:p>
    <w:p>
      <w:pPr>
        <w:pStyle w:val="24"/>
        <w:rPr>
          <w:rFonts w:hint="eastAsia"/>
          <w:lang w:val="en-US" w:eastAsia="zh-CN"/>
        </w:rPr>
      </w:pPr>
      <w:r>
        <w:rPr>
          <w:rFonts w:hint="eastAsia"/>
          <w:lang w:val="en-US" w:eastAsia="zh-CN"/>
        </w:rPr>
        <w:t>按GB 2761的规定执行。</w:t>
      </w:r>
    </w:p>
    <w:p>
      <w:pPr>
        <w:pStyle w:val="72"/>
        <w:bidi w:val="0"/>
        <w:rPr>
          <w:rFonts w:hint="eastAsia"/>
          <w:lang w:val="en-US" w:eastAsia="zh-CN"/>
        </w:rPr>
      </w:pPr>
      <w:r>
        <w:rPr>
          <w:rFonts w:hint="eastAsia"/>
          <w:lang w:val="en-US" w:eastAsia="zh-CN"/>
        </w:rPr>
        <w:t>污染物限量</w:t>
      </w:r>
    </w:p>
    <w:p>
      <w:pPr>
        <w:pStyle w:val="24"/>
        <w:rPr>
          <w:rFonts w:hint="eastAsia"/>
          <w:lang w:val="en-US" w:eastAsia="zh-CN"/>
        </w:rPr>
      </w:pPr>
      <w:r>
        <w:rPr>
          <w:rFonts w:hint="eastAsia"/>
          <w:lang w:val="en-US" w:eastAsia="zh-CN"/>
        </w:rPr>
        <w:t>按GB 2762的规定执行。</w:t>
      </w:r>
    </w:p>
    <w:p>
      <w:pPr>
        <w:pStyle w:val="72"/>
        <w:spacing w:before="156" w:after="156"/>
        <w:ind w:left="0"/>
      </w:pPr>
      <w:r>
        <w:rPr>
          <w:rFonts w:hint="eastAsia"/>
          <w:lang w:val="en-US" w:eastAsia="zh-CN"/>
        </w:rPr>
        <w:t>微生物限量</w:t>
      </w:r>
    </w:p>
    <w:p>
      <w:pPr>
        <w:pStyle w:val="73"/>
        <w:bidi w:val="0"/>
        <w:rPr>
          <w:rFonts w:hint="default"/>
          <w:lang w:val="en-US" w:eastAsia="zh-CN"/>
        </w:rPr>
      </w:pPr>
      <w:r>
        <w:rPr>
          <w:rFonts w:hint="eastAsia" w:ascii="宋体" w:hAnsi="Times New Roman" w:eastAsia="宋体" w:cs="Times New Roman"/>
          <w:sz w:val="21"/>
          <w:lang w:val="en-US" w:eastAsia="zh-CN" w:bidi="ar-SA"/>
        </w:rPr>
        <w:t>致病菌限量按GB 29921的规定</w:t>
      </w:r>
      <w:r>
        <w:rPr>
          <w:rFonts w:hint="eastAsia" w:ascii="宋体" w:hAnsi="Times New Roman" w:eastAsia="宋体" w:cs="宋体"/>
          <w:sz w:val="21"/>
          <w:lang w:val="en-US" w:eastAsia="zh-CN"/>
        </w:rPr>
        <w:t>执行</w:t>
      </w:r>
      <w:r>
        <w:rPr>
          <w:rFonts w:hint="eastAsia" w:ascii="宋体" w:hAnsi="Times New Roman" w:eastAsia="宋体" w:cs="Times New Roman"/>
          <w:sz w:val="21"/>
          <w:lang w:val="en-US" w:eastAsia="zh-CN" w:bidi="ar-SA"/>
        </w:rPr>
        <w:t>。</w:t>
      </w:r>
    </w:p>
    <w:p>
      <w:pPr>
        <w:pStyle w:val="73"/>
        <w:bidi w:val="0"/>
        <w:rPr>
          <w:rFonts w:hint="eastAsia"/>
          <w:lang w:val="en-US" w:eastAsia="zh-CN"/>
        </w:rPr>
      </w:pPr>
      <w:r>
        <w:rPr>
          <w:rFonts w:hint="eastAsia" w:ascii="宋体" w:hAnsi="Times New Roman" w:eastAsia="宋体" w:cs="Times New Roman"/>
          <w:sz w:val="21"/>
          <w:lang w:val="en-US" w:eastAsia="zh-CN" w:bidi="ar-SA"/>
        </w:rPr>
        <w:t>微生物限量按GB 19300的规定</w:t>
      </w:r>
      <w:r>
        <w:rPr>
          <w:rFonts w:hint="eastAsia" w:ascii="宋体" w:hAnsi="Times New Roman" w:eastAsia="宋体" w:cs="宋体"/>
          <w:sz w:val="21"/>
          <w:lang w:val="en-US" w:eastAsia="zh-CN"/>
        </w:rPr>
        <w:t>执行</w:t>
      </w:r>
      <w:r>
        <w:rPr>
          <w:rFonts w:hint="eastAsia" w:ascii="宋体" w:hAnsi="Times New Roman" w:eastAsia="宋体" w:cs="Times New Roman"/>
          <w:sz w:val="21"/>
          <w:lang w:val="en-US" w:eastAsia="zh-CN" w:bidi="ar-SA"/>
        </w:rPr>
        <w:t>。</w:t>
      </w:r>
    </w:p>
    <w:p>
      <w:pPr>
        <w:pStyle w:val="72"/>
        <w:bidi w:val="0"/>
        <w:rPr>
          <w:rFonts w:hint="eastAsia"/>
          <w:lang w:val="en-US" w:eastAsia="zh-CN"/>
        </w:rPr>
      </w:pPr>
      <w:r>
        <w:rPr>
          <w:rFonts w:hint="eastAsia"/>
          <w:lang w:val="en-US" w:eastAsia="zh-CN"/>
        </w:rPr>
        <w:t>净含量</w:t>
      </w:r>
    </w:p>
    <w:p>
      <w:pPr>
        <w:pStyle w:val="24"/>
        <w:rPr>
          <w:rFonts w:hint="eastAsia"/>
          <w:lang w:val="en-US" w:eastAsia="zh-CN"/>
        </w:rPr>
      </w:pPr>
      <w:r>
        <w:rPr>
          <w:rFonts w:hint="eastAsia"/>
          <w:lang w:val="en-US" w:eastAsia="zh-CN"/>
        </w:rPr>
        <w:t>按JJF 1070的规定执行</w:t>
      </w:r>
    </w:p>
    <w:p>
      <w:pPr>
        <w:pStyle w:val="71"/>
        <w:bidi w:val="0"/>
        <w:rPr>
          <w:rFonts w:hint="default"/>
          <w:lang w:val="en-US" w:eastAsia="zh-CN"/>
        </w:rPr>
      </w:pPr>
      <w:bookmarkStart w:id="29" w:name="_Toc5712"/>
      <w:r>
        <w:rPr>
          <w:rFonts w:hint="eastAsia"/>
          <w:lang w:val="en-US" w:eastAsia="zh-CN"/>
        </w:rPr>
        <w:t>检验规则</w:t>
      </w:r>
      <w:bookmarkEnd w:id="29"/>
    </w:p>
    <w:p>
      <w:pPr>
        <w:pStyle w:val="72"/>
        <w:bidi w:val="0"/>
        <w:rPr>
          <w:rFonts w:hint="default"/>
          <w:lang w:val="en-US" w:eastAsia="zh-CN"/>
        </w:rPr>
      </w:pPr>
      <w:bookmarkStart w:id="30" w:name="_Toc10667"/>
      <w:r>
        <w:rPr>
          <w:rFonts w:hint="eastAsia"/>
          <w:lang w:val="en-US" w:eastAsia="zh-CN"/>
        </w:rPr>
        <w:t>出厂检验</w:t>
      </w:r>
      <w:bookmarkEnd w:id="30"/>
    </w:p>
    <w:p>
      <w:pPr>
        <w:pStyle w:val="73"/>
        <w:bidi w:val="0"/>
        <w:rPr>
          <w:rFonts w:hint="eastAsia" w:ascii="宋体" w:hAnsi="宋体" w:eastAsia="宋体" w:cs="宋体"/>
          <w:lang w:eastAsia="zh-CN"/>
        </w:rPr>
      </w:pPr>
      <w:r>
        <w:rPr>
          <w:rFonts w:hint="eastAsia" w:ascii="宋体" w:hAnsi="宋体" w:eastAsia="宋体" w:cs="宋体"/>
        </w:rPr>
        <w:t>产品出厂前，应由生产企业检验合格并签发质量合格证明方可出厂</w:t>
      </w:r>
      <w:r>
        <w:rPr>
          <w:rFonts w:hint="eastAsia" w:ascii="宋体" w:hAnsi="宋体" w:eastAsia="宋体" w:cs="宋体"/>
          <w:lang w:eastAsia="zh-CN"/>
        </w:rPr>
        <w:t>。</w:t>
      </w:r>
    </w:p>
    <w:p>
      <w:pPr>
        <w:pStyle w:val="73"/>
        <w:bidi w:val="0"/>
        <w:rPr>
          <w:rFonts w:hint="default"/>
          <w:lang w:val="en-US" w:eastAsia="zh-CN"/>
        </w:rPr>
      </w:pPr>
      <w:r>
        <w:rPr>
          <w:rFonts w:hint="eastAsia" w:ascii="宋体" w:hAnsi="宋体" w:eastAsia="宋体" w:cs="宋体"/>
          <w:lang w:val="en-US" w:eastAsia="zh-CN"/>
        </w:rPr>
        <w:t>检验项目为感官要求、理化指标、净含量。</w:t>
      </w:r>
    </w:p>
    <w:p>
      <w:pPr>
        <w:pStyle w:val="72"/>
        <w:bidi w:val="0"/>
        <w:rPr>
          <w:rFonts w:hint="default"/>
          <w:lang w:val="en-US" w:eastAsia="zh-CN"/>
        </w:rPr>
      </w:pPr>
      <w:bookmarkStart w:id="31" w:name="_Toc4033"/>
      <w:r>
        <w:rPr>
          <w:rFonts w:hint="eastAsia"/>
          <w:lang w:val="en-US" w:eastAsia="zh-CN"/>
        </w:rPr>
        <w:t>型式检验</w:t>
      </w:r>
      <w:bookmarkEnd w:id="31"/>
    </w:p>
    <w:p>
      <w:pPr>
        <w:pStyle w:val="73"/>
        <w:numPr>
          <w:ilvl w:val="2"/>
          <w:numId w:val="0"/>
        </w:numPr>
        <w:bidi w:val="0"/>
        <w:ind w:firstLine="420" w:firstLineChars="200"/>
        <w:rPr>
          <w:rFonts w:hint="default"/>
          <w:lang w:val="en-US" w:eastAsia="zh-CN"/>
        </w:rPr>
      </w:pPr>
      <w:r>
        <w:rPr>
          <w:rFonts w:hint="eastAsia" w:ascii="宋体" w:hAnsi="宋体" w:eastAsia="宋体"/>
          <w:lang w:val="en-US" w:eastAsia="zh-CN"/>
        </w:rPr>
        <w:t>型式检验项目为</w:t>
      </w:r>
      <w:r>
        <w:rPr>
          <w:rFonts w:hint="eastAsia" w:ascii="宋体" w:hAnsi="宋体" w:eastAsia="宋体"/>
        </w:rPr>
        <w:t>本</w:t>
      </w:r>
      <w:r>
        <w:rPr>
          <w:rFonts w:hint="eastAsia" w:ascii="宋体" w:hAnsi="宋体" w:eastAsia="宋体"/>
          <w:lang w:eastAsia="zh-CN"/>
        </w:rPr>
        <w:t>文件</w:t>
      </w:r>
      <w:r>
        <w:rPr>
          <w:rFonts w:hint="eastAsia" w:ascii="宋体" w:hAnsi="宋体" w:eastAsia="宋体"/>
          <w:lang w:val="en-US" w:eastAsia="zh-CN"/>
        </w:rPr>
        <w:t>技术</w:t>
      </w:r>
      <w:r>
        <w:rPr>
          <w:rFonts w:hint="eastAsia" w:ascii="宋体" w:hAnsi="宋体" w:eastAsia="宋体"/>
        </w:rPr>
        <w:t>要求中规定的全部项目。有下列情况之一时，应进行</w:t>
      </w:r>
      <w:r>
        <w:rPr>
          <w:rFonts w:hint="eastAsia" w:ascii="宋体" w:hAnsi="宋体" w:eastAsia="宋体"/>
          <w:lang w:eastAsia="zh-CN"/>
        </w:rPr>
        <w:t>：</w:t>
      </w:r>
    </w:p>
    <w:p>
      <w:pPr>
        <w:pStyle w:val="24"/>
        <w:rPr>
          <w:rFonts w:hint="default"/>
          <w:lang w:val="en-US" w:eastAsia="zh-CN"/>
        </w:rPr>
      </w:pPr>
      <w:r>
        <w:rPr>
          <w:rFonts w:hint="default"/>
          <w:lang w:val="en-US" w:eastAsia="zh-CN"/>
        </w:rPr>
        <w:t>a）工艺或原料发生重大改变时；</w:t>
      </w:r>
    </w:p>
    <w:p>
      <w:pPr>
        <w:pStyle w:val="24"/>
        <w:rPr>
          <w:rFonts w:hint="default"/>
          <w:lang w:val="en-US" w:eastAsia="zh-CN"/>
        </w:rPr>
      </w:pPr>
      <w:r>
        <w:rPr>
          <w:rFonts w:hint="default"/>
          <w:lang w:val="en-US" w:eastAsia="zh-CN"/>
        </w:rPr>
        <w:t>b）客户有型式检验要求时；</w:t>
      </w:r>
    </w:p>
    <w:p>
      <w:pPr>
        <w:pStyle w:val="24"/>
        <w:rPr>
          <w:rFonts w:hint="default"/>
          <w:lang w:val="en-US" w:eastAsia="zh-CN"/>
        </w:rPr>
      </w:pPr>
      <w:r>
        <w:rPr>
          <w:rFonts w:hint="default"/>
          <w:lang w:val="en-US" w:eastAsia="zh-CN"/>
        </w:rPr>
        <w:t>c）供需双方对产品质量有争议，请第三方进行仲裁时；</w:t>
      </w:r>
    </w:p>
    <w:p>
      <w:pPr>
        <w:pStyle w:val="24"/>
        <w:rPr>
          <w:rFonts w:hint="default"/>
          <w:lang w:val="en-US" w:eastAsia="zh-CN"/>
        </w:rPr>
      </w:pPr>
      <w:r>
        <w:rPr>
          <w:rFonts w:hint="default"/>
          <w:lang w:val="en-US" w:eastAsia="zh-CN"/>
        </w:rPr>
        <w:t>d）国家质量监督</w:t>
      </w:r>
      <w:r>
        <w:rPr>
          <w:rFonts w:hint="eastAsia"/>
          <w:lang w:val="en-US" w:eastAsia="zh-CN"/>
        </w:rPr>
        <w:t>管理部门</w:t>
      </w:r>
      <w:r>
        <w:rPr>
          <w:rFonts w:hint="default"/>
          <w:lang w:val="en-US" w:eastAsia="zh-CN"/>
        </w:rPr>
        <w:t>提出要求时</w:t>
      </w:r>
      <w:r>
        <w:rPr>
          <w:rFonts w:hint="eastAsia"/>
          <w:lang w:val="en-US" w:eastAsia="zh-CN"/>
        </w:rPr>
        <w:t>。</w:t>
      </w:r>
    </w:p>
    <w:p>
      <w:pPr>
        <w:pStyle w:val="72"/>
        <w:bidi w:val="0"/>
        <w:rPr>
          <w:rFonts w:hint="default"/>
          <w:lang w:val="en-US" w:eastAsia="zh-CN"/>
        </w:rPr>
      </w:pPr>
      <w:bookmarkStart w:id="32" w:name="_Toc22782"/>
      <w:r>
        <w:rPr>
          <w:rFonts w:hint="eastAsia"/>
          <w:lang w:val="en-US" w:eastAsia="zh-CN"/>
        </w:rPr>
        <w:t>组批与抽样</w:t>
      </w:r>
      <w:bookmarkEnd w:id="32"/>
    </w:p>
    <w:p>
      <w:pPr>
        <w:pStyle w:val="24"/>
        <w:rPr>
          <w:rFonts w:hint="eastAsia"/>
          <w:lang w:val="en-US" w:eastAsia="zh-CN"/>
        </w:rPr>
      </w:pPr>
      <w:r>
        <w:rPr>
          <w:rFonts w:hint="default"/>
          <w:lang w:val="en-US" w:eastAsia="zh-CN"/>
        </w:rPr>
        <w:t>以同一班次生产的同一品种、同一规格</w:t>
      </w:r>
      <w:r>
        <w:rPr>
          <w:rFonts w:hint="eastAsia"/>
          <w:lang w:val="en-US" w:eastAsia="zh-CN"/>
        </w:rPr>
        <w:t>、同一产地、相同质量等级</w:t>
      </w:r>
      <w:r>
        <w:rPr>
          <w:rFonts w:hint="default"/>
          <w:lang w:val="en-US" w:eastAsia="zh-CN"/>
        </w:rPr>
        <w:t>的产品为一批</w:t>
      </w:r>
      <w:r>
        <w:rPr>
          <w:rFonts w:hint="eastAsia"/>
          <w:lang w:val="en-US" w:eastAsia="zh-CN"/>
        </w:rPr>
        <w:t>，从每批产品不同部位随机抽取不少于2kg。</w:t>
      </w:r>
    </w:p>
    <w:p>
      <w:pPr>
        <w:pStyle w:val="72"/>
        <w:bidi w:val="0"/>
        <w:rPr>
          <w:rFonts w:hint="default"/>
          <w:lang w:val="en-US" w:eastAsia="zh-CN"/>
        </w:rPr>
      </w:pPr>
      <w:bookmarkStart w:id="33" w:name="_Toc14078"/>
      <w:r>
        <w:rPr>
          <w:rFonts w:hint="eastAsia"/>
          <w:lang w:val="en-US" w:eastAsia="zh-CN"/>
        </w:rPr>
        <w:t>判定规则</w:t>
      </w:r>
      <w:bookmarkEnd w:id="33"/>
    </w:p>
    <w:p>
      <w:pPr>
        <w:pStyle w:val="24"/>
        <w:rPr>
          <w:rFonts w:hint="eastAsia"/>
        </w:rPr>
      </w:pPr>
      <w:r>
        <w:rPr>
          <w:rFonts w:hint="eastAsia"/>
        </w:rPr>
        <w:t>产品经检验全部指标符合本标准要求时，判定为合格品。若有不合格项时，可在同批产品中加倍取样对不合格项进行复检，以复检结果为准。污染物</w:t>
      </w:r>
      <w:r>
        <w:rPr>
          <w:rFonts w:hint="eastAsia"/>
          <w:lang w:eastAsia="zh-CN"/>
        </w:rPr>
        <w:t>限量</w:t>
      </w:r>
      <w:r>
        <w:rPr>
          <w:rFonts w:hint="eastAsia"/>
        </w:rPr>
        <w:t>、微生物</w:t>
      </w:r>
      <w:r>
        <w:rPr>
          <w:rFonts w:hint="eastAsia"/>
          <w:lang w:eastAsia="zh-CN"/>
        </w:rPr>
        <w:t>限量</w:t>
      </w:r>
      <w:r>
        <w:rPr>
          <w:rFonts w:hint="eastAsia"/>
        </w:rPr>
        <w:t>指标不得复检。</w:t>
      </w:r>
    </w:p>
    <w:p>
      <w:pPr>
        <w:pStyle w:val="71"/>
        <w:bidi w:val="0"/>
        <w:rPr>
          <w:rFonts w:hint="eastAsia"/>
        </w:rPr>
      </w:pPr>
      <w:bookmarkStart w:id="34" w:name="_Toc11078"/>
      <w:r>
        <w:rPr>
          <w:rFonts w:hint="eastAsia"/>
        </w:rPr>
        <w:t>标志、包装、运输</w:t>
      </w:r>
      <w:r>
        <w:rPr>
          <w:rFonts w:hint="eastAsia"/>
          <w:lang w:val="en-US" w:eastAsia="zh-CN"/>
        </w:rPr>
        <w:t>和</w:t>
      </w:r>
      <w:r>
        <w:rPr>
          <w:rFonts w:hint="eastAsia"/>
        </w:rPr>
        <w:t>贮存</w:t>
      </w:r>
      <w:bookmarkEnd w:id="34"/>
    </w:p>
    <w:p>
      <w:pPr>
        <w:pStyle w:val="72"/>
        <w:bidi w:val="0"/>
        <w:rPr>
          <w:rFonts w:hint="eastAsia"/>
        </w:rPr>
      </w:pPr>
      <w:bookmarkStart w:id="35" w:name="_Toc12614"/>
      <w:r>
        <w:rPr>
          <w:rFonts w:hint="eastAsia"/>
          <w:lang w:val="en-US" w:eastAsia="zh-CN"/>
        </w:rPr>
        <w:t>标志</w:t>
      </w:r>
      <w:bookmarkEnd w:id="35"/>
    </w:p>
    <w:p>
      <w:pPr>
        <w:keepNext w:val="0"/>
        <w:keepLines w:val="0"/>
        <w:pageBreakBefore w:val="0"/>
        <w:kinsoku/>
        <w:wordWrap/>
        <w:overflowPunct/>
        <w:topLinePunct w:val="0"/>
        <w:bidi w:val="0"/>
        <w:adjustRightInd/>
        <w:snapToGrid/>
        <w:ind w:leftChars="0" w:firstLine="420" w:firstLineChars="200"/>
        <w:textAlignment w:val="auto"/>
        <w:rPr>
          <w:rFonts w:hint="eastAsia" w:ascii="宋体" w:hAnsi="Times New Roman" w:eastAsia="宋体" w:cs="宋体"/>
          <w:kern w:val="0"/>
          <w:sz w:val="21"/>
          <w:szCs w:val="20"/>
          <w:lang w:eastAsia="zh-CN"/>
        </w:rPr>
      </w:pPr>
      <w:r>
        <w:rPr>
          <w:rFonts w:hint="eastAsia" w:ascii="宋体" w:hAnsi="Times New Roman" w:eastAsia="宋体" w:cs="宋体"/>
          <w:kern w:val="0"/>
          <w:sz w:val="21"/>
          <w:szCs w:val="20"/>
          <w:lang w:eastAsia="zh-CN"/>
        </w:rPr>
        <w:t>标签标注应符合</w:t>
      </w:r>
      <w:r>
        <w:rPr>
          <w:rFonts w:hint="eastAsia" w:ascii="宋体" w:hAnsi="Times New Roman" w:eastAsia="宋体" w:cs="宋体"/>
          <w:kern w:val="0"/>
          <w:sz w:val="21"/>
          <w:szCs w:val="20"/>
          <w:lang w:val="en-US" w:eastAsia="zh-CN"/>
        </w:rPr>
        <w:t>GB 7718、GB 28050规定。</w:t>
      </w:r>
      <w:r>
        <w:rPr>
          <w:rFonts w:hint="eastAsia" w:ascii="宋体" w:hAnsi="Times New Roman" w:eastAsia="宋体" w:cs="宋体"/>
          <w:kern w:val="0"/>
          <w:sz w:val="21"/>
          <w:szCs w:val="20"/>
          <w:lang w:eastAsia="zh-CN"/>
        </w:rPr>
        <w:t>获准使用地理标志产品专用标志的生产者 ,可在其产品包装上使用地理标志产品专用标志，标志的使用应符合《地理标志专用标志使用管理办法(试行)》。产品名称应按本文件规定的名称标注。外包装标</w:t>
      </w:r>
      <w:r>
        <w:rPr>
          <w:rFonts w:hint="eastAsia" w:ascii="宋体" w:hAnsi="Times New Roman" w:eastAsia="宋体" w:cs="宋体"/>
          <w:kern w:val="0"/>
          <w:sz w:val="21"/>
          <w:szCs w:val="20"/>
          <w:lang w:val="en-US" w:eastAsia="zh-CN"/>
        </w:rPr>
        <w:t>志</w:t>
      </w:r>
      <w:r>
        <w:rPr>
          <w:rFonts w:hint="eastAsia" w:ascii="宋体" w:hAnsi="Times New Roman" w:eastAsia="宋体" w:cs="宋体"/>
          <w:kern w:val="0"/>
          <w:sz w:val="21"/>
          <w:szCs w:val="20"/>
          <w:lang w:eastAsia="zh-CN"/>
        </w:rPr>
        <w:t>应符合</w:t>
      </w:r>
      <w:r>
        <w:rPr>
          <w:rFonts w:hint="eastAsia" w:ascii="宋体" w:hAnsi="Times New Roman" w:eastAsia="宋体" w:cs="宋体"/>
          <w:kern w:val="0"/>
          <w:sz w:val="21"/>
          <w:szCs w:val="20"/>
          <w:lang w:val="en-US" w:eastAsia="zh-CN"/>
        </w:rPr>
        <w:t>GB/T 191</w:t>
      </w:r>
      <w:r>
        <w:rPr>
          <w:rFonts w:hint="eastAsia" w:ascii="宋体" w:hAnsi="Times New Roman" w:eastAsia="宋体" w:cs="宋体"/>
          <w:kern w:val="0"/>
          <w:sz w:val="21"/>
          <w:szCs w:val="20"/>
          <w:lang w:eastAsia="zh-CN"/>
        </w:rPr>
        <w:t>的规定。</w:t>
      </w:r>
    </w:p>
    <w:p>
      <w:pPr>
        <w:pStyle w:val="72"/>
        <w:bidi w:val="0"/>
        <w:rPr>
          <w:rFonts w:hint="eastAsia"/>
          <w:lang w:eastAsia="zh-CN"/>
        </w:rPr>
      </w:pPr>
      <w:bookmarkStart w:id="36" w:name="_Toc3501"/>
      <w:r>
        <w:rPr>
          <w:rFonts w:hint="eastAsia"/>
          <w:lang w:val="en-US" w:eastAsia="zh-CN"/>
        </w:rPr>
        <w:t>包装</w:t>
      </w:r>
      <w:bookmarkEnd w:id="36"/>
    </w:p>
    <w:p>
      <w:pPr>
        <w:pStyle w:val="24"/>
        <w:rPr>
          <w:rFonts w:hint="eastAsia"/>
          <w:lang w:eastAsia="zh-CN"/>
        </w:rPr>
      </w:pPr>
      <w:r>
        <w:rPr>
          <w:rFonts w:hint="eastAsia"/>
          <w:lang w:eastAsia="zh-CN"/>
        </w:rPr>
        <w:t>包装应符合GB</w:t>
      </w:r>
      <w:r>
        <w:rPr>
          <w:rFonts w:hint="default"/>
          <w:lang w:val="en-US" w:eastAsia="zh-CN"/>
        </w:rPr>
        <w:t xml:space="preserve"> </w:t>
      </w:r>
      <w:r>
        <w:rPr>
          <w:rFonts w:hint="eastAsia"/>
          <w:lang w:val="en-US" w:eastAsia="zh-CN"/>
        </w:rPr>
        <w:t>9683</w:t>
      </w:r>
      <w:r>
        <w:rPr>
          <w:rFonts w:hint="eastAsia"/>
          <w:lang w:eastAsia="zh-CN"/>
        </w:rPr>
        <w:t>的规定。外包装应符合GB/T 6543的规定。</w:t>
      </w:r>
    </w:p>
    <w:p>
      <w:pPr>
        <w:pStyle w:val="72"/>
        <w:bidi w:val="0"/>
        <w:rPr>
          <w:rFonts w:hint="eastAsia"/>
          <w:lang w:eastAsia="zh-CN"/>
        </w:rPr>
      </w:pPr>
      <w:bookmarkStart w:id="37" w:name="_Toc10361"/>
      <w:r>
        <w:rPr>
          <w:rFonts w:hint="eastAsia"/>
          <w:lang w:val="en-US" w:eastAsia="zh-CN"/>
        </w:rPr>
        <w:t>运输</w:t>
      </w:r>
      <w:bookmarkEnd w:id="37"/>
    </w:p>
    <w:p>
      <w:pPr>
        <w:pStyle w:val="24"/>
        <w:rPr>
          <w:rFonts w:hint="default"/>
          <w:lang w:val="en-US" w:eastAsia="zh-CN"/>
        </w:rPr>
      </w:pPr>
      <w:r>
        <w:rPr>
          <w:rFonts w:hint="eastAsia"/>
          <w:lang w:eastAsia="zh-CN"/>
        </w:rPr>
        <w:t>运输工具</w:t>
      </w:r>
      <w:r>
        <w:rPr>
          <w:rFonts w:hint="eastAsia"/>
          <w:lang w:val="en-US" w:eastAsia="zh-CN"/>
        </w:rPr>
        <w:t>应</w:t>
      </w:r>
      <w:r>
        <w:rPr>
          <w:rFonts w:hint="eastAsia"/>
          <w:lang w:eastAsia="zh-CN"/>
        </w:rPr>
        <w:t>清洁、防潮、防雨</w:t>
      </w:r>
      <w:r>
        <w:rPr>
          <w:rFonts w:hint="eastAsia"/>
          <w:lang w:val="en-US" w:eastAsia="zh-CN"/>
        </w:rPr>
        <w:t>雪</w:t>
      </w:r>
      <w:r>
        <w:rPr>
          <w:rFonts w:hint="eastAsia"/>
          <w:lang w:eastAsia="zh-CN"/>
        </w:rPr>
        <w:t>。</w:t>
      </w:r>
      <w:r>
        <w:rPr>
          <w:rFonts w:hint="eastAsia"/>
          <w:lang w:val="en-US" w:eastAsia="zh-CN"/>
        </w:rPr>
        <w:t>运输过程中应轻装、轻卸，避免发生挤压、撞击。</w:t>
      </w:r>
    </w:p>
    <w:p>
      <w:pPr>
        <w:pStyle w:val="72"/>
        <w:bidi w:val="0"/>
        <w:rPr>
          <w:rFonts w:hint="default"/>
          <w:highlight w:val="none"/>
          <w:lang w:val="en-US" w:eastAsia="zh-CN"/>
        </w:rPr>
      </w:pPr>
      <w:bookmarkStart w:id="38" w:name="_Toc5762"/>
      <w:r>
        <w:rPr>
          <w:rFonts w:hint="eastAsia"/>
          <w:highlight w:val="none"/>
          <w:lang w:val="en-US" w:eastAsia="zh-CN"/>
        </w:rPr>
        <w:t>贮存</w:t>
      </w:r>
      <w:bookmarkEnd w:id="38"/>
    </w:p>
    <w:p>
      <w:pPr>
        <w:pStyle w:val="73"/>
        <w:numPr>
          <w:ilvl w:val="2"/>
          <w:numId w:val="0"/>
        </w:numPr>
        <w:bidi w:val="0"/>
        <w:ind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贮存于凉爽库房或冷藏库，地面铺设防潮、防水设施。严禁与有毒、有异味和易于传播虫害的物品混合存放，防止虫害、鼠害。保质期12个月。</w:t>
      </w:r>
    </w:p>
    <w:p>
      <w:pPr>
        <w:pStyle w:val="113"/>
        <w:numPr>
          <w:ilvl w:val="0"/>
          <w:numId w:val="0"/>
        </w:numPr>
        <w:bidi w:val="0"/>
        <w:ind w:leftChars="0"/>
        <w:jc w:val="both"/>
        <w:rPr>
          <w:rFonts w:hint="default"/>
          <w:lang w:val="en-US" w:eastAsia="zh-CN"/>
        </w:rPr>
      </w:pPr>
    </w:p>
    <w:p>
      <w:pPr>
        <w:pStyle w:val="24"/>
        <w:rPr>
          <w:rFonts w:hint="default"/>
          <w:lang w:val="en-US" w:eastAsia="zh-CN"/>
        </w:rPr>
      </w:pPr>
      <w:bookmarkStart w:id="39" w:name="BKFL"/>
      <w:bookmarkEnd w:id="39"/>
    </w:p>
    <w:p>
      <w:pPr>
        <w:pStyle w:val="102"/>
        <w:bidi w:val="0"/>
        <w:rPr>
          <w:rFonts w:hint="default"/>
          <w:lang w:val="en-US" w:eastAsia="zh-CN"/>
        </w:rPr>
      </w:pPr>
    </w:p>
    <w:p>
      <w:bookmarkStart w:id="40" w:name="EndLine"/>
      <w:r>
        <w:br w:type="page"/>
      </w:r>
    </w:p>
    <w:p>
      <w:pPr>
        <w:pStyle w:val="98"/>
        <w:bidi w:val="0"/>
      </w:pPr>
    </w:p>
    <w:p>
      <w:pPr>
        <w:pStyle w:val="100"/>
        <w:bidi w:val="0"/>
      </w:pPr>
    </w:p>
    <w:p>
      <w:pPr>
        <w:pStyle w:val="87"/>
        <w:bidi w:val="0"/>
      </w:pPr>
      <w:r>
        <w:br w:type="textWrapping"/>
      </w:r>
      <w:r>
        <w:rPr>
          <w:rFonts w:hint="eastAsia"/>
          <w:lang w:eastAsia="zh-CN"/>
        </w:rPr>
        <w:t>（规范性）</w:t>
      </w:r>
      <w:r>
        <w:rPr>
          <w:rFonts w:hint="eastAsia"/>
          <w:lang w:eastAsia="zh-CN"/>
        </w:rPr>
        <w:br w:type="textWrapping"/>
      </w:r>
      <w:r>
        <w:rPr>
          <w:rFonts w:hint="eastAsia"/>
          <w:lang w:val="en-US" w:eastAsia="zh-CN"/>
        </w:rPr>
        <w:t>桓仁红松籽地理标志产品保护范围图</w:t>
      </w:r>
    </w:p>
    <w:p>
      <w:pPr>
        <w:pStyle w:val="24"/>
        <w:rPr>
          <w:rFonts w:hint="eastAsia"/>
          <w:lang w:eastAsia="zh-CN"/>
        </w:rPr>
      </w:pPr>
      <w:r>
        <w:rPr>
          <w:rFonts w:hint="eastAsia" w:hAnsi="宋体" w:cs="宋体"/>
        </w:rPr>
        <w:t>桓仁</w:t>
      </w:r>
      <w:r>
        <w:rPr>
          <w:rFonts w:hint="eastAsia" w:hAnsi="宋体" w:cs="宋体"/>
          <w:lang w:val="en-US" w:eastAsia="zh-CN"/>
        </w:rPr>
        <w:t>红松籽</w:t>
      </w:r>
      <w:r>
        <w:rPr>
          <w:rFonts w:hint="eastAsia" w:hAnsi="宋体" w:cs="宋体"/>
        </w:rPr>
        <w:t>地理标志产品保护范围见图A.1。</w:t>
      </w:r>
    </w:p>
    <w:p>
      <w:pPr>
        <w:pStyle w:val="24"/>
        <w:ind w:left="0" w:leftChars="0" w:firstLine="0" w:firstLineChars="0"/>
        <w:rPr>
          <w:rFonts w:hint="default"/>
          <w:lang w:val="en-US" w:eastAsia="zh-CN"/>
        </w:rPr>
      </w:pPr>
      <w:r>
        <w:rPr>
          <w:rFonts w:hint="default"/>
          <w:lang w:val="en-US" w:eastAsia="zh-CN"/>
        </w:rPr>
        <w:drawing>
          <wp:inline distT="0" distB="0" distL="114300" distR="114300">
            <wp:extent cx="5917565" cy="4838065"/>
            <wp:effectExtent l="0" t="0" r="6985" b="635"/>
            <wp:docPr id="1" name="图片 1" descr="a12b6516a31ef752b5cb1174bfe49d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a12b6516a31ef752b5cb1174bfe49dd"/>
                    <pic:cNvPicPr>
                      <a:picLocks noChangeAspect="true"/>
                    </pic:cNvPicPr>
                  </pic:nvPicPr>
                  <pic:blipFill>
                    <a:blip r:embed="rId9"/>
                    <a:stretch>
                      <a:fillRect/>
                    </a:stretch>
                  </pic:blipFill>
                  <pic:spPr>
                    <a:xfrm>
                      <a:off x="0" y="0"/>
                      <a:ext cx="5917565" cy="4838065"/>
                    </a:xfrm>
                    <a:prstGeom prst="rect">
                      <a:avLst/>
                    </a:prstGeom>
                  </pic:spPr>
                </pic:pic>
              </a:graphicData>
            </a:graphic>
          </wp:inline>
        </w:drawing>
      </w:r>
    </w:p>
    <w:p>
      <w:pPr>
        <w:pStyle w:val="107"/>
        <w:bidi w:val="0"/>
        <w:jc w:val="center"/>
        <w:rPr>
          <w:rFonts w:hint="default"/>
          <w:lang w:val="en-US" w:eastAsia="zh-CN"/>
        </w:rPr>
      </w:pPr>
      <w:r>
        <w:rPr>
          <w:rFonts w:hint="eastAsia"/>
          <w:lang w:val="en-US" w:eastAsia="zh-CN"/>
        </w:rPr>
        <w:t xml:space="preserve">图A.1 </w:t>
      </w:r>
      <w:r>
        <w:rPr>
          <w:rFonts w:hint="eastAsia" w:hAnsi="宋体" w:cs="宋体"/>
        </w:rPr>
        <w:t>桓仁</w:t>
      </w:r>
      <w:r>
        <w:rPr>
          <w:rFonts w:hint="eastAsia" w:hAnsi="宋体" w:cs="宋体"/>
          <w:lang w:val="en-US" w:eastAsia="zh-CN"/>
        </w:rPr>
        <w:t>红松籽</w:t>
      </w:r>
      <w:r>
        <w:rPr>
          <w:rFonts w:hint="eastAsia" w:hAnsi="宋体" w:cs="宋体"/>
        </w:rPr>
        <w:t>地理标志产品保护范围</w:t>
      </w:r>
      <w:r>
        <w:rPr>
          <w:rFonts w:hint="eastAsia" w:cs="宋体"/>
          <w:lang w:val="en-US" w:eastAsia="zh-CN"/>
        </w:rPr>
        <w:t>图</w:t>
      </w:r>
    </w:p>
    <w:p>
      <w:pPr>
        <w:pStyle w:val="111"/>
        <w:bidi w:val="0"/>
        <w:rPr>
          <w:rFonts w:hint="default"/>
          <w:lang w:val="en-US" w:eastAsia="zh-CN"/>
        </w:rPr>
      </w:pPr>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0"/>
                    <a:stretch>
                      <a:fillRect/>
                    </a:stretch>
                  </pic:blipFill>
                  <pic:spPr>
                    <a:xfrm>
                      <a:off x="0" y="0"/>
                      <a:ext cx="1485900" cy="317500"/>
                    </a:xfrm>
                    <a:prstGeom prst="rect">
                      <a:avLst/>
                    </a:prstGeom>
                  </pic:spPr>
                </pic:pic>
              </a:graphicData>
            </a:graphic>
          </wp:inline>
        </w:drawing>
      </w:r>
      <w:bookmarkEnd w:id="40"/>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西文正文">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bidi w:val="0"/>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bidi w:val="0"/>
      <w:rPr>
        <w:rFonts w:hint="eastAsia" w:eastAsia="黑体"/>
        <w:lang w:val="en-US" w:eastAsia="zh-CN"/>
      </w:rPr>
    </w:pPr>
    <w:r>
      <w:rPr>
        <w:rFonts w:hint="eastAsia"/>
        <w:lang w:val="en-US" w:eastAsia="zh-CN"/>
      </w:rPr>
      <w:t>DB2105/T 010—2023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821B3"/>
    <w:multiLevelType w:val="multilevel"/>
    <w:tmpl w:val="963821B3"/>
    <w:lvl w:ilvl="0" w:tentative="0">
      <w:start w:val="1"/>
      <w:numFmt w:val="lowerLetter"/>
      <w:pStyle w:val="64"/>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5"/>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3"/>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ECA0E3A"/>
    <w:multiLevelType w:val="multilevel"/>
    <w:tmpl w:val="9ECA0E3A"/>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AD380C97"/>
    <w:multiLevelType w:val="multilevel"/>
    <w:tmpl w:val="AD380C97"/>
    <w:lvl w:ilvl="0" w:tentative="0">
      <w:start w:val="1"/>
      <w:numFmt w:val="none"/>
      <w:pStyle w:val="61"/>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2"/>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B691C7F6"/>
    <w:multiLevelType w:val="multilevel"/>
    <w:tmpl w:val="B691C7F6"/>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26D4359"/>
    <w:multiLevelType w:val="multilevel"/>
    <w:tmpl w:val="C26D4359"/>
    <w:lvl w:ilvl="0" w:tentative="0">
      <w:start w:val="1"/>
      <w:numFmt w:val="decimal"/>
      <w:pStyle w:val="106"/>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C7FC390"/>
    <w:multiLevelType w:val="multilevel"/>
    <w:tmpl w:val="CC7FC390"/>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55"/>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6"/>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7"/>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8"/>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9"/>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DDC4F870"/>
    <w:multiLevelType w:val="multilevel"/>
    <w:tmpl w:val="DDC4F870"/>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40C18EE"/>
    <w:multiLevelType w:val="multilevel"/>
    <w:tmpl w:val="F40C18E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D541BA1"/>
    <w:multiLevelType w:val="multilevel"/>
    <w:tmpl w:val="FD541BA1"/>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01DE06E4"/>
    <w:multiLevelType w:val="multilevel"/>
    <w:tmpl w:val="01DE06E4"/>
    <w:lvl w:ilvl="0" w:tentative="0">
      <w:start w:val="1"/>
      <w:numFmt w:val="decimal"/>
      <w:pStyle w:val="104"/>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7682640"/>
    <w:multiLevelType w:val="multilevel"/>
    <w:tmpl w:val="07682640"/>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0C2D5EF7"/>
    <w:multiLevelType w:val="multilevel"/>
    <w:tmpl w:val="0C2D5EF7"/>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2"/>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4"/>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51373CA0"/>
    <w:multiLevelType w:val="multilevel"/>
    <w:tmpl w:val="51373CA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2C88F23"/>
    <w:multiLevelType w:val="multilevel"/>
    <w:tmpl w:val="52C88F23"/>
    <w:lvl w:ilvl="0" w:tentative="0">
      <w:start w:val="1"/>
      <w:numFmt w:val="none"/>
      <w:pStyle w:val="105"/>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5E136114"/>
    <w:multiLevelType w:val="multilevel"/>
    <w:tmpl w:val="5E136114"/>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6B3959BD"/>
    <w:multiLevelType w:val="multilevel"/>
    <w:tmpl w:val="6B3959B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7D1DF277"/>
    <w:multiLevelType w:val="multilevel"/>
    <w:tmpl w:val="7D1DF277"/>
    <w:lvl w:ilvl="0" w:tentative="0">
      <w:start w:val="1"/>
      <w:numFmt w:val="none"/>
      <w:pStyle w:val="103"/>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6"/>
  </w:num>
  <w:num w:numId="2">
    <w:abstractNumId w:val="10"/>
  </w:num>
  <w:num w:numId="3">
    <w:abstractNumId w:val="13"/>
  </w:num>
  <w:num w:numId="4">
    <w:abstractNumId w:val="5"/>
  </w:num>
  <w:num w:numId="5">
    <w:abstractNumId w:val="2"/>
  </w:num>
  <w:num w:numId="6">
    <w:abstractNumId w:val="0"/>
  </w:num>
  <w:num w:numId="7">
    <w:abstractNumId w:val="6"/>
  </w:num>
  <w:num w:numId="8">
    <w:abstractNumId w:val="3"/>
  </w:num>
  <w:num w:numId="9">
    <w:abstractNumId w:val="15"/>
  </w:num>
  <w:num w:numId="10">
    <w:abstractNumId w:val="18"/>
  </w:num>
  <w:num w:numId="11">
    <w:abstractNumId w:val="9"/>
  </w:num>
  <w:num w:numId="12">
    <w:abstractNumId w:val="14"/>
  </w:num>
  <w:num w:numId="13">
    <w:abstractNumId w:val="4"/>
  </w:num>
  <w:num w:numId="14">
    <w:abstractNumId w:val="8"/>
  </w:num>
  <w:num w:numId="15">
    <w:abstractNumId w:val="11"/>
  </w:num>
  <w:num w:numId="16">
    <w:abstractNumId w:val="7"/>
  </w:num>
  <w:num w:numId="17">
    <w:abstractNumId w:val="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WU4ZDQ1Mzg3OGNjYjMyZDg5NTI3NjU3ZWI2YTMifQ=="/>
  </w:docVars>
  <w:rsids>
    <w:rsidRoot w:val="34EC042D"/>
    <w:rsid w:val="00806C4B"/>
    <w:rsid w:val="00D10A8B"/>
    <w:rsid w:val="01BD5047"/>
    <w:rsid w:val="03D50DD9"/>
    <w:rsid w:val="041F7BAE"/>
    <w:rsid w:val="0877628D"/>
    <w:rsid w:val="0C4853E3"/>
    <w:rsid w:val="16256B97"/>
    <w:rsid w:val="16E337D3"/>
    <w:rsid w:val="1A2A0016"/>
    <w:rsid w:val="1C0A2641"/>
    <w:rsid w:val="1DAF27F7"/>
    <w:rsid w:val="29DB01C2"/>
    <w:rsid w:val="2C407546"/>
    <w:rsid w:val="2EAB2859"/>
    <w:rsid w:val="2F9F2B00"/>
    <w:rsid w:val="32FD1FBF"/>
    <w:rsid w:val="33C40EC2"/>
    <w:rsid w:val="34EC042D"/>
    <w:rsid w:val="36BA5139"/>
    <w:rsid w:val="36CC5A63"/>
    <w:rsid w:val="36E37889"/>
    <w:rsid w:val="384E406E"/>
    <w:rsid w:val="3C836BC3"/>
    <w:rsid w:val="3DA25B9E"/>
    <w:rsid w:val="3E63728E"/>
    <w:rsid w:val="408B16E9"/>
    <w:rsid w:val="42D860A9"/>
    <w:rsid w:val="44ED05C5"/>
    <w:rsid w:val="48787F73"/>
    <w:rsid w:val="49574BFD"/>
    <w:rsid w:val="49C76B39"/>
    <w:rsid w:val="4FE373B8"/>
    <w:rsid w:val="500F3C7A"/>
    <w:rsid w:val="55D87E81"/>
    <w:rsid w:val="56D76394"/>
    <w:rsid w:val="5CC84238"/>
    <w:rsid w:val="5E635D67"/>
    <w:rsid w:val="624A1AA9"/>
    <w:rsid w:val="62BF2B37"/>
    <w:rsid w:val="638C5F0B"/>
    <w:rsid w:val="649956E5"/>
    <w:rsid w:val="66B73752"/>
    <w:rsid w:val="682E2116"/>
    <w:rsid w:val="6FF115A2"/>
    <w:rsid w:val="727662A7"/>
    <w:rsid w:val="733E53DF"/>
    <w:rsid w:val="75C651DB"/>
    <w:rsid w:val="796A147A"/>
    <w:rsid w:val="7ABF315D"/>
    <w:rsid w:val="7D8061A2"/>
    <w:rsid w:val="7DFE6BFF"/>
    <w:rsid w:val="B2BA9A98"/>
    <w:rsid w:val="C3A754BB"/>
    <w:rsid w:val="D77EC820"/>
    <w:rsid w:val="F5EB5ACD"/>
    <w:rsid w:val="FCFF9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ascii="宋体" w:hAnsi="宋体" w:eastAsia="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56">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57">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58">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59">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0">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61">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2">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63">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64">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5">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6">
    <w:name w:val="标准文件_引言一级无标题"/>
    <w:basedOn w:val="55"/>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56"/>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57"/>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58"/>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59"/>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suppressAutoHyphens w:val="0"/>
      <w:ind w:firstLine="363"/>
    </w:pPr>
    <w:rPr>
      <w:rFonts w:hAnsi="Times New Roman"/>
      <w:sz w:val="18"/>
    </w:rPr>
  </w:style>
  <w:style w:type="paragraph" w:customStyle="1" w:styleId="105">
    <w:name w:val="标准文件_注"/>
    <w:next w:val="24"/>
    <w:qFormat/>
    <w:uiPriority w:val="0"/>
    <w:pPr>
      <w:numPr>
        <w:ilvl w:val="0"/>
        <w:numId w:val="12"/>
      </w:numPr>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60"/>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一级无"/>
    <w:basedOn w:val="122"/>
    <w:qFormat/>
    <w:uiPriority w:val="0"/>
    <w:pPr>
      <w:spacing w:beforeLines="0" w:afterLines="0"/>
    </w:pPr>
    <w:rPr>
      <w:rFonts w:ascii="宋体" w:hAnsi="宋体" w:eastAsia="宋体"/>
    </w:rPr>
  </w:style>
  <w:style w:type="paragraph" w:customStyle="1" w:styleId="122">
    <w:name w:val="一级条标题"/>
    <w:next w:val="120"/>
    <w:qFormat/>
    <w:uiPriority w:val="0"/>
    <w:pPr>
      <w:numPr>
        <w:ilvl w:val="1"/>
        <w:numId w:val="18"/>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3">
    <w:name w:val="三级条标题"/>
    <w:basedOn w:val="124"/>
    <w:next w:val="120"/>
    <w:qFormat/>
    <w:uiPriority w:val="0"/>
    <w:pPr>
      <w:outlineLvl w:val="4"/>
    </w:pPr>
  </w:style>
  <w:style w:type="paragraph" w:customStyle="1" w:styleId="124">
    <w:name w:val="二级条标题"/>
    <w:basedOn w:val="122"/>
    <w:next w:val="120"/>
    <w:qFormat/>
    <w:uiPriority w:val="0"/>
    <w:pPr>
      <w:numPr>
        <w:ilvl w:val="2"/>
        <w:numId w:val="18"/>
      </w:numPr>
      <w:spacing w:before="50" w:after="50"/>
      <w:outlineLvl w:val="3"/>
    </w:pPr>
  </w:style>
  <w:style w:type="paragraph" w:customStyle="1" w:styleId="125">
    <w:name w:val="章标题"/>
    <w:next w:val="120"/>
    <w:qFormat/>
    <w:uiPriority w:val="2441"/>
    <w:pPr>
      <w:numPr>
        <w:ilvl w:val="1"/>
        <w:numId w:val="19"/>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a295b7-9e4f-4591-8422-33aa79e098a3}"/>
        <w:style w:val=""/>
        <w:category>
          <w:name w:val="常规"/>
          <w:gallery w:val="placeholder"/>
        </w:category>
        <w:types>
          <w:type w:val="bbPlcHdr"/>
        </w:types>
        <w:behaviors>
          <w:behavior w:val="content"/>
        </w:behaviors>
        <w:description w:val=""/>
        <w:guid w:val="{69a295b7-9e4f-4591-8422-33aa79e098a3}"/>
      </w:docPartPr>
      <w:docPartBody>
        <w:p>
          <w:r>
            <w:rPr>
              <w:color w:val="808080"/>
            </w:rPr>
            <w:t>选择一项。</w:t>
          </w:r>
        </w:p>
      </w:docPartBody>
    </w:docPart>
    <w:docPart>
      <w:docPartPr>
        <w:name w:val="{770ca80c-c834-4f55-9eb8-66439144759e}"/>
        <w:style w:val=""/>
        <w:category>
          <w:name w:val="常规"/>
          <w:gallery w:val="placeholder"/>
        </w:category>
        <w:types>
          <w:type w:val="bbPlcHdr"/>
        </w:types>
        <w:behaviors>
          <w:behavior w:val="content"/>
        </w:behaviors>
        <w:description w:val=""/>
        <w:guid w:val="{770ca80c-c834-4f55-9eb8-66439144759e}"/>
      </w:docPartPr>
      <w:docPartBody>
        <w:p>
          <w:r>
            <w:rPr>
              <w:color w:val="808080"/>
            </w:rPr>
            <w:t>选择一项。</w:t>
          </w:r>
        </w:p>
      </w:docPartBody>
    </w:docPart>
    <w:docPart>
      <w:docPartPr>
        <w:name w:val="{b01565b4-2a96-44ca-86c3-811b839ca133}"/>
        <w:style w:val=""/>
        <w:category>
          <w:name w:val="常规"/>
          <w:gallery w:val="placeholder"/>
        </w:category>
        <w:types>
          <w:type w:val="bbPlcHdr"/>
        </w:types>
        <w:behaviors>
          <w:behavior w:val="content"/>
        </w:behaviors>
        <w:description w:val=""/>
        <w:guid w:val="{b01565b4-2a96-44ca-86c3-811b839ca13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2023-09-08T18:27:00Z</dcterms:created>
  <dc:creator>蔡明</dc:creator>
  <cp:lastModifiedBy>user</cp:lastModifiedBy>
  <cp:lastPrinted>2023-11-19T19:56:00Z</cp:lastPrinted>
  <dcterms:modified xsi:type="dcterms:W3CDTF">2023-11-27T12:28:01Z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2C3862F5E92F4A50BC6948D557C025B0_13</vt:lpwstr>
  </property>
</Properties>
</file>