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bidi w:val="0"/>
        <w:rPr>
          <w:rFonts w:hint="eastAsia"/>
          <w:lang w:val="en-US" w:eastAsia="zh-CN"/>
        </w:rPr>
      </w:pPr>
      <w:bookmarkStart w:id="0" w:name="DBMark2"/>
      <w:r>
        <w:rPr>
          <w:rFonts w:hint="eastAsia" w:ascii="黑体" w:hAnsi="Times New Roman" w:eastAsia="黑体" w:cs="Times New Roman"/>
          <w:sz w:val="48"/>
          <w:lang w:val="en-US" w:eastAsia="zh-CN"/>
        </w:rPr>
        <w:fldChar w:fldCharType="begin">
          <w:ffData>
            <w:name w:val="DBMark2"/>
            <w:enabled/>
            <w:calcOnExit w:val="0"/>
            <w:textInput>
              <w:default w:val="本溪市"/>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本溪市</w:t>
      </w:r>
      <w:r>
        <w:rPr>
          <w:rFonts w:hint="eastAsia" w:ascii="黑体" w:hAnsi="Times New Roman" w:eastAsia="黑体" w:cs="Times New Roman"/>
          <w:sz w:val="48"/>
          <w:lang w:val="en-US" w:eastAsia="zh-CN"/>
        </w:rPr>
        <w:fldChar w:fldCharType="end"/>
      </w:r>
      <w:bookmarkEnd w:id="0"/>
      <w:r>
        <w:rPr>
          <w:rFonts w:hint="eastAsia"/>
          <w:lang w:val="en-US" w:eastAsia="zh-CN"/>
        </w:rPr>
        <w:t>地方标准</w:t>
      </w:r>
    </w:p>
    <w:p>
      <w:pPr>
        <w:pStyle w:val="39"/>
        <w:bidi w:val="0"/>
        <w:rPr>
          <w:rFonts w:hint="eastAsia"/>
          <w:lang w:val="en-US" w:eastAsia="zh-CN"/>
        </w:rPr>
      </w:pPr>
      <w:r>
        <w:rPr>
          <w:rFonts w:hint="eastAsia"/>
          <w:lang w:val="en-US" w:eastAsia="zh-CN"/>
        </w:rPr>
        <w:fldChar w:fldCharType="begin">
          <w:ffData>
            <w:name w:val="StandNo"/>
            <w:enabled/>
            <w:calcOnExit w:val="0"/>
            <w:textInput>
              <w:default w:val="DB2105/T 003—2023"/>
            </w:textInput>
          </w:ffData>
        </w:fldChar>
      </w:r>
      <w:bookmarkStart w:id="1"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DB2105/T 003—2023</w:t>
      </w:r>
      <w:r>
        <w:rPr>
          <w:rFonts w:hint="eastAsia"/>
          <w:lang w:val="en-US" w:eastAsia="zh-CN"/>
        </w:rPr>
        <w:fldChar w:fldCharType="end"/>
      </w:r>
      <w:bookmarkEnd w:id="1"/>
    </w:p>
    <w:p>
      <w:pPr>
        <w:pStyle w:val="38"/>
        <w:bidi w:val="0"/>
        <w:rPr>
          <w:rFonts w:hint="eastAsia"/>
          <w:lang w:val="en-US" w:eastAsia="zh-CN"/>
        </w:rPr>
      </w:pPr>
      <w:r>
        <w:rPr>
          <w:rFonts w:hint="eastAsia"/>
          <w:lang w:val="en-US" w:eastAsia="zh-CN"/>
        </w:rPr>
        <w:fldChar w:fldCharType="begin">
          <w:ffData>
            <w:name w:val="ReplaceDB"/>
            <w:enabled/>
            <w:calcOnExit w:val="0"/>
            <w:textInput/>
          </w:ffData>
        </w:fldChar>
      </w:r>
      <w:bookmarkStart w:id="2"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3"/>
              <w:widowControl w:val="0"/>
              <w:bidi w:val="0"/>
              <w:jc w:val="both"/>
              <w:rPr>
                <w:rFonts w:hint="eastAsia"/>
                <w:sz w:val="10"/>
                <w:vertAlign w:val="baseline"/>
                <w:lang w:val="en-US" w:eastAsia="zh-CN"/>
              </w:rPr>
            </w:pPr>
          </w:p>
        </w:tc>
      </w:tr>
    </w:tbl>
    <w:p>
      <w:pPr>
        <w:pStyle w:val="40"/>
        <w:bidi w:val="0"/>
        <w:rPr>
          <w:rFonts w:hint="eastAsia"/>
          <w:lang w:val="en-US" w:eastAsia="zh-CN"/>
        </w:rPr>
      </w:pPr>
      <w:r>
        <w:rPr>
          <w:rFonts w:hint="eastAsia"/>
          <w:lang w:val="en-US" w:eastAsia="zh-CN"/>
        </w:rPr>
        <w:fldChar w:fldCharType="begin">
          <w:ffData>
            <w:name w:val="StdName"/>
            <w:enabled/>
            <w:calcOnExit w:val="0"/>
            <w:textInput>
              <w:default w:val="地理标志产品 桓仁山参"/>
            </w:textInput>
          </w:ffData>
        </w:fldChar>
      </w:r>
      <w:bookmarkStart w:id="3"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地理标志产品 桓仁山参</w:t>
      </w:r>
      <w:r>
        <w:rPr>
          <w:rFonts w:hint="eastAsia"/>
          <w:lang w:val="en-US" w:eastAsia="zh-CN"/>
        </w:rPr>
        <w:fldChar w:fldCharType="end"/>
      </w:r>
      <w:bookmarkEnd w:id="3"/>
    </w:p>
    <w:p>
      <w:pPr>
        <w:pStyle w:val="41"/>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Product of geographical indication Huanren mountain ginseng "/>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 xml:space="preserve">Product of geographical indication Huanren mountain ginseng </w:t>
      </w:r>
      <w:r>
        <w:rPr>
          <w:rFonts w:hint="eastAsia" w:ascii="Times New Roman" w:hAnsi="Times New Roman" w:eastAsia="黑体" w:cs="Times New Roman"/>
          <w:sz w:val="28"/>
          <w:lang w:val="en-US" w:eastAsia="zh-CN"/>
        </w:rPr>
        <w:fldChar w:fldCharType="end"/>
      </w:r>
      <w:bookmarkEnd w:id="4"/>
    </w:p>
    <w:p>
      <w:pPr>
        <w:pStyle w:val="42"/>
        <w:bidi w:val="0"/>
        <w:rPr>
          <w:rFonts w:hint="eastAsia"/>
          <w:lang w:val="en-US" w:eastAsia="zh-CN"/>
        </w:rPr>
      </w:pPr>
      <w:r>
        <w:rPr>
          <w:rFonts w:hint="eastAsia"/>
          <w:lang w:val="en-US" w:eastAsia="zh-CN"/>
        </w:rPr>
        <w:fldChar w:fldCharType="begin">
          <w:ffData>
            <w:name w:val="YZBS"/>
            <w:enabled/>
            <w:calcOnExit w:val="0"/>
            <w:textInput>
              <w:default w:val="(点击此处添加与国际标准一致性程度的标识)"/>
            </w:textInput>
          </w:ffData>
        </w:fldChar>
      </w:r>
      <w:bookmarkStart w:id="5" w:name="YZBS"/>
      <w:r>
        <w:rPr>
          <w:rFonts w:hint="eastAsia"/>
          <w:lang w:val="en-US" w:eastAsia="zh-CN"/>
        </w:rPr>
        <w:instrText xml:space="preserve">FORMTEXT</w:instrText>
      </w:r>
      <w:r>
        <w:rPr>
          <w:rFonts w:hint="eastAsia"/>
          <w:lang w:val="en-US" w:eastAsia="zh-CN"/>
        </w:rPr>
        <w:fldChar w:fldCharType="separate"/>
      </w:r>
      <w:r>
        <w:rPr>
          <w:rFonts w:hint="eastAsia"/>
          <w:lang w:val="en-US" w:eastAsia="zh-CN"/>
        </w:rPr>
        <w:t>(点击此处添加与国际标准一致性程度的标识)</w:t>
      </w:r>
      <w:r>
        <w:rPr>
          <w:rFonts w:hint="eastAsia"/>
          <w:lang w:val="en-US" w:eastAsia="zh-CN"/>
        </w:rPr>
        <w:fldChar w:fldCharType="end"/>
      </w:r>
      <w:bookmarkEnd w:id="5"/>
    </w:p>
    <w:p>
      <w:pPr>
        <w:pStyle w:val="43"/>
        <w:bidi w:val="0"/>
        <w:spacing w:after="0"/>
        <w:rPr>
          <w:rFonts w:hint="eastAsia"/>
          <w:lang w:val="en-US" w:eastAsia="zh-CN"/>
        </w:rPr>
      </w:pPr>
      <w:r>
        <w:rPr>
          <w:rFonts w:hint="eastAsia"/>
          <w:lang w:val="en-US" w:eastAsia="zh-CN"/>
        </w:rPr>
        <w:fldChar w:fldCharType="begin">
          <w:ffData>
            <w:name w:val="LB"/>
            <w:enabled/>
            <w:calcOnExit w:val="0"/>
            <w:ddList>
              <w:result w:val="6"/>
              <w:default w:val="2"/>
              <w:listEntry w:val="     "/>
              <w:listEntry w:val="草案版次选择"/>
              <w:listEntry w:val="（工作组讨论稿）"/>
              <w:listEntry w:val="（征求意见稿）"/>
              <w:listEntry w:val="（送审讨论稿）"/>
              <w:listEntry w:val="（送审稿）"/>
              <w:listEntry w:val="（报批稿）"/>
            </w:ddList>
          </w:ffData>
        </w:fldChar>
      </w:r>
      <w:bookmarkStart w:id="6" w:name="LB"/>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6"/>
    </w:p>
    <w:p>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7"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7"/>
    </w:p>
    <w:p>
      <w:pPr>
        <w:pStyle w:val="45"/>
        <w:bidi w:val="0"/>
        <w:spacing w:before="687" w:beforeLines="22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8"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8"/>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7"/>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9"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10"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1"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1"/>
            <w:r>
              <w:rPr>
                <w:rFonts w:hint="eastAsia"/>
                <w:vertAlign w:val="baseline"/>
                <w:lang w:val="en-US" w:eastAsia="zh-CN"/>
              </w:rPr>
              <w:t xml:space="preserve"> 发布</w:t>
            </w:r>
          </w:p>
        </w:tc>
        <w:tc>
          <w:tcPr>
            <w:tcW w:w="4945" w:type="dxa"/>
            <w:tcBorders>
              <w:bottom w:val="single" w:color="auto" w:sz="8" w:space="0"/>
            </w:tcBorders>
            <w:tcMar>
              <w:right w:w="57" w:type="dxa"/>
            </w:tcMar>
          </w:tcPr>
          <w:p>
            <w:pPr>
              <w:pStyle w:val="37"/>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12"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3"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4"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4"/>
            <w:r>
              <w:rPr>
                <w:rFonts w:hint="eastAsia"/>
                <w:vertAlign w:val="baseline"/>
                <w:lang w:val="en-US" w:eastAsia="zh-CN"/>
              </w:rPr>
              <w:t xml:space="preserve"> 实施</w:t>
            </w:r>
          </w:p>
        </w:tc>
      </w:tr>
    </w:tbl>
    <w:p>
      <w:pPr>
        <w:pStyle w:val="47"/>
        <w:bidi w:val="0"/>
        <w:spacing w:before="0"/>
        <w:rPr>
          <w:rFonts w:hint="eastAsia"/>
          <w:spacing w:val="0"/>
          <w:w w:val="100"/>
          <w:sz w:val="28"/>
          <w:lang w:val="en-US" w:eastAsia="zh-CN"/>
        </w:rPr>
      </w:pPr>
      <w:bookmarkStart w:id="15" w:name="FM2"/>
      <w:r>
        <w:rPr>
          <w:rFonts w:hint="eastAsia" w:ascii="黑体" w:hAnsi="黑体" w:eastAsia="黑体" w:cs="Times New Roman"/>
          <w:spacing w:val="0"/>
          <w:w w:val="100"/>
          <w:sz w:val="28"/>
          <w:lang w:val="en-US" w:eastAsia="zh-CN"/>
        </w:rPr>
        <w:fldChar w:fldCharType="begin">
          <w:ffData>
            <w:name w:val="FM2"/>
            <w:enabled/>
            <w:calcOnExit w:val="0"/>
            <w:textInput>
              <w:default w:val="本溪市市场监督管理局"/>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本溪市市场监督管理局</w:t>
      </w:r>
      <w:r>
        <w:rPr>
          <w:rFonts w:hint="eastAsia" w:ascii="黑体" w:hAnsi="黑体" w:eastAsia="黑体" w:cs="Times New Roman"/>
          <w:spacing w:val="0"/>
          <w:w w:val="100"/>
          <w:sz w:val="28"/>
          <w:lang w:val="en-US" w:eastAsia="zh-CN"/>
        </w:rPr>
        <w:fldChar w:fldCharType="end"/>
      </w:r>
      <w:bookmarkEnd w:id="15"/>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1"/>
              <w:framePr w:w="9639" w:wrap="around"/>
              <w:bidi w:val="0"/>
              <w:jc w:val="both"/>
              <w:rPr>
                <w:rFonts w:hint="eastAsia"/>
                <w:vertAlign w:val="baseline"/>
                <w:lang w:val="en-US" w:eastAsia="zh-CN"/>
              </w:rPr>
            </w:pPr>
            <w:bookmarkStart w:id="16"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点击此处添加ICS号</w:t>
            </w:r>
            <w:r>
              <w:rPr>
                <w:rFonts w:hint="eastAsia"/>
                <w:vertAlign w:val="baseline"/>
                <w:lang w:val="en-US" w:eastAsia="zh-CN"/>
              </w:rPr>
              <w:fldChar w:fldCharType="end"/>
            </w:r>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pPr>
              <w:pStyle w:val="51"/>
              <w:framePr w:w="9639" w:wrap="around"/>
              <w:bidi w:val="0"/>
              <w:jc w:val="both"/>
              <w:rPr>
                <w:rFonts w:hint="eastAsia"/>
                <w:vertAlign w:val="baseline"/>
                <w:lang w:val="en-US" w:eastAsia="zh-CN"/>
              </w:rPr>
            </w:pPr>
            <w:bookmarkStart w:id="17"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7"/>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9525" b="12065"/>
                        <wp:docPr id="4" name="图片 4" descr="地标"/>
                        <wp:cNvGraphicFramePr/>
                        <a:graphic xmlns:a="http://schemas.openxmlformats.org/drawingml/2006/main">
                          <a:graphicData uri="http://schemas.openxmlformats.org/drawingml/2006/picture">
                            <pic:pic xmlns:pic="http://schemas.openxmlformats.org/drawingml/2006/picture">
                              <pic:nvPicPr>
                                <pic:cNvPr id="4" name="图片 4"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bookmarkStart w:id="18" w:name="DBMark"/>
                  <w:r>
                    <w:rPr>
                      <w:rFonts w:hint="eastAsia" w:ascii="Times New Roman" w:hAnsi="Times New Roman" w:eastAsia="宋体" w:cs="Times New Roman"/>
                      <w:b/>
                      <w:w w:val="130"/>
                      <w:kern w:val="0"/>
                      <w:sz w:val="96"/>
                      <w:vertAlign w:val="baseline"/>
                      <w:lang w:val="en-US" w:eastAsia="zh-CN"/>
                    </w:rPr>
                    <w:fldChar w:fldCharType="begin">
                      <w:ffData>
                        <w:name w:val="DBMark"/>
                        <w:enabled/>
                        <w:calcOnExit w:val="0"/>
                        <w:textInput>
                          <w:default w:val="2105"/>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2105</w:t>
                  </w:r>
                  <w:r>
                    <w:rPr>
                      <w:rFonts w:hint="eastAsia" w:ascii="Times New Roman" w:hAnsi="Times New Roman" w:eastAsia="宋体" w:cs="Times New Roman"/>
                      <w:b/>
                      <w:w w:val="130"/>
                      <w:kern w:val="0"/>
                      <w:sz w:val="96"/>
                      <w:vertAlign w:val="baseline"/>
                      <w:lang w:val="en-US" w:eastAsia="zh-CN"/>
                    </w:rPr>
                    <w:fldChar w:fldCharType="end"/>
                  </w:r>
                  <w:bookmarkEnd w:id="18"/>
                </w:p>
              </w:tc>
            </w:tr>
          </w:tbl>
          <w:p>
            <w:pPr>
              <w:pStyle w:val="51"/>
              <w:framePr w:w="9639" w:wrap="around"/>
              <w:bidi w:val="0"/>
              <w:jc w:val="both"/>
              <w:rPr>
                <w:rFonts w:hint="eastAsia"/>
                <w:vertAlign w:val="baseline"/>
                <w:lang w:val="en-US" w:eastAsia="zh-CN"/>
              </w:rPr>
            </w:pPr>
          </w:p>
        </w:tc>
      </w:tr>
    </w:tbl>
    <w:p>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upperRoman" w:start="1"/>
          <w:cols w:space="425" w:num="1"/>
          <w:formProt w:val="1"/>
          <w:titlePg/>
          <w:docGrid w:type="lines" w:linePitch="312" w:charSpace="0"/>
        </w:sectPr>
      </w:pPr>
    </w:p>
    <w:p>
      <w:pPr>
        <w:pStyle w:val="53"/>
        <w:bidi w:val="0"/>
        <w:rPr>
          <w:rFonts w:hint="eastAsia"/>
          <w:lang w:val="en-US" w:eastAsia="zh-CN"/>
        </w:rPr>
      </w:pPr>
      <w:r>
        <w:rPr>
          <w:rFonts w:hint="eastAsia"/>
          <w:spacing w:val="317"/>
          <w:lang w:val="en-US" w:eastAsia="zh-CN"/>
        </w:rPr>
        <w:t>前</w:t>
      </w:r>
      <w:bookmarkStart w:id="19" w:name="BKQY"/>
      <w:r>
        <w:rPr>
          <w:rFonts w:hint="eastAsia"/>
          <w:lang w:val="en-US" w:eastAsia="zh-CN"/>
        </w:rPr>
        <w:t>言</w:t>
      </w:r>
    </w:p>
    <w:p>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23"/>
        <w:bidi w:val="0"/>
        <w:rPr>
          <w:rFonts w:hint="eastAsia"/>
          <w:lang w:val="en-US" w:eastAsia="zh-CN"/>
        </w:rPr>
      </w:pPr>
      <w:r>
        <w:rPr>
          <w:rFonts w:hint="eastAsia"/>
          <w:lang w:val="en-US" w:eastAsia="zh-CN"/>
        </w:rPr>
        <w:t>本文件根据GB/T 17924-2008《地理标志产品标准通用要求》及原国家质量监督检验检疫总局颁布的《地理标志产品保护规定》制定。</w:t>
      </w:r>
    </w:p>
    <w:p>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3"/>
        <w:bidi w:val="0"/>
        <w:rPr>
          <w:rFonts w:hint="eastAsia"/>
          <w:lang w:val="en-US" w:eastAsia="zh-CN"/>
        </w:rPr>
      </w:pPr>
      <w:r>
        <w:rPr>
          <w:rFonts w:hint="eastAsia"/>
          <w:lang w:val="en-US" w:eastAsia="zh-CN"/>
        </w:rPr>
        <w:t>本文件由本溪市林业和草原局提出并归口。</w:t>
      </w:r>
    </w:p>
    <w:p>
      <w:pPr>
        <w:pStyle w:val="23"/>
        <w:ind w:firstLine="420"/>
        <w:rPr>
          <w:rFonts w:hint="eastAsia"/>
          <w:lang w:val="en-US" w:eastAsia="zh-CN"/>
        </w:rPr>
      </w:pPr>
      <w:r>
        <w:rPr>
          <w:rFonts w:hint="eastAsia"/>
          <w:lang w:val="en-US" w:eastAsia="zh-CN"/>
        </w:rPr>
        <w:t>本文件起草单位：</w:t>
      </w:r>
      <w:r>
        <w:rPr>
          <w:rFonts w:hint="eastAsia"/>
        </w:rPr>
        <w:t>桓仁满族自治县检验检测服务中心、辽宁晟宇检验检测有限公司（辽宁省参茸产品质量检验中心</w:t>
      </w:r>
      <w:r>
        <w:rPr>
          <w:rFonts w:hint="eastAsia"/>
          <w:lang w:val="en-US" w:eastAsia="zh-CN"/>
        </w:rPr>
        <w:t>、辽宁省冰葡萄产品质量检验中心</w:t>
      </w:r>
      <w:r>
        <w:rPr>
          <w:rFonts w:hint="eastAsia"/>
        </w:rPr>
        <w:t>）。</w:t>
      </w:r>
    </w:p>
    <w:p>
      <w:pPr>
        <w:pStyle w:val="23"/>
        <w:bidi w:val="0"/>
        <w:rPr>
          <w:rFonts w:hint="eastAsia"/>
          <w:lang w:val="en-US" w:eastAsia="zh-CN"/>
        </w:rPr>
      </w:pPr>
      <w:r>
        <w:rPr>
          <w:rFonts w:hint="eastAsia"/>
          <w:lang w:val="en-US" w:eastAsia="zh-CN"/>
        </w:rPr>
        <w:t>本文件主要起草人：樊琳琳、窦德强、王旭、吕威、李飞、裴立楠、李昱、金洪艳、丁国伟、许亮、王冰冰、孙宪宇、滕越、王国春。</w:t>
      </w:r>
    </w:p>
    <w:p>
      <w:pPr>
        <w:pStyle w:val="23"/>
        <w:bidi w:val="0"/>
        <w:rPr>
          <w:rFonts w:hint="eastAsia"/>
        </w:rPr>
      </w:pPr>
      <w:r>
        <w:rPr>
          <w:rFonts w:hint="eastAsia"/>
          <w:lang w:val="en-US" w:eastAsia="zh-CN"/>
        </w:rPr>
        <w:t>本文件发布实施后，任何单位和个人如有问题和意见建议，均可以通过来电和来函等方式进行反馈，我们将及时答复并认真处理，根据实际情况依法进行评估及复审。</w:t>
      </w:r>
    </w:p>
    <w:p>
      <w:pPr>
        <w:pStyle w:val="23"/>
        <w:bidi w:val="0"/>
        <w:rPr>
          <w:rFonts w:hint="eastAsia"/>
        </w:rPr>
      </w:pPr>
      <w:r>
        <w:rPr>
          <w:rFonts w:hint="eastAsia"/>
        </w:rPr>
        <w:t xml:space="preserve">归口管理部门联系方式： </w:t>
      </w:r>
      <w:r>
        <w:rPr>
          <w:rFonts w:hint="eastAsia"/>
          <w:lang w:val="en-US" w:eastAsia="zh-CN"/>
        </w:rPr>
        <w:t>本溪市</w:t>
      </w:r>
      <w:r>
        <w:rPr>
          <w:rFonts w:hint="eastAsia"/>
        </w:rPr>
        <w:t>林业和草原局（</w:t>
      </w:r>
      <w:r>
        <w:rPr>
          <w:rFonts w:hint="eastAsia"/>
          <w:lang w:val="en-US" w:eastAsia="zh-CN"/>
        </w:rPr>
        <w:t>本溪市平山区人民路31号</w:t>
      </w:r>
      <w:r>
        <w:rPr>
          <w:rFonts w:hint="eastAsia"/>
        </w:rPr>
        <w:t>），联系电话：024-</w:t>
      </w:r>
      <w:r>
        <w:rPr>
          <w:rFonts w:hint="eastAsia"/>
          <w:lang w:val="en-US" w:eastAsia="zh-CN"/>
        </w:rPr>
        <w:t>43560107</w:t>
      </w:r>
      <w:r>
        <w:rPr>
          <w:rFonts w:hint="eastAsia"/>
        </w:rPr>
        <w:t>。</w:t>
      </w:r>
    </w:p>
    <w:p>
      <w:pPr>
        <w:pStyle w:val="23"/>
        <w:bidi w:val="0"/>
        <w:rPr>
          <w:rFonts w:hint="eastAsia"/>
          <w:lang w:val="en-US" w:eastAsia="zh-CN"/>
        </w:rPr>
      </w:pPr>
      <w:r>
        <w:rPr>
          <w:rFonts w:hint="eastAsia"/>
        </w:rPr>
        <w:t>起草部门联系方式：桓仁满族自治县</w:t>
      </w:r>
      <w:r>
        <w:rPr>
          <w:rFonts w:hint="eastAsia"/>
          <w:lang w:val="en-US" w:eastAsia="zh-CN"/>
        </w:rPr>
        <w:t>市场监管事务</w:t>
      </w:r>
      <w:r>
        <w:rPr>
          <w:rFonts w:hint="eastAsia"/>
        </w:rPr>
        <w:t>服务中心（桓仁满族自治县五女山路46号），联系电话：024-48823443。</w:t>
      </w:r>
    </w:p>
    <w:p>
      <w:pPr>
        <w:pStyle w:val="23"/>
        <w:bidi w:val="0"/>
        <w:rPr>
          <w:rFonts w:hint="eastAsia"/>
          <w:lang w:val="en-US" w:eastAsia="zh-CN"/>
        </w:rPr>
      </w:pPr>
    </w:p>
    <w:bookmarkEnd w:id="19"/>
    <w:p>
      <w:pPr>
        <w:rPr>
          <w:rFonts w:hint="eastAsia"/>
          <w:lang w:val="en-US" w:eastAsia="zh-CN"/>
        </w:rPr>
      </w:pPr>
    </w:p>
    <w:p>
      <w:pPr>
        <w:rPr>
          <w:rFonts w:hint="eastAsia"/>
          <w:lang w:val="en-US" w:eastAsia="zh-CN"/>
        </w:rPr>
      </w:pPr>
    </w:p>
    <w:p>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formProt w:val="0"/>
          <w:docGrid w:type="lines" w:linePitch="312" w:charSpace="0"/>
        </w:sectPr>
      </w:pPr>
    </w:p>
    <w:sdt>
      <w:sdtPr>
        <w:rPr>
          <w:rFonts w:hint="eastAsia" w:ascii="黑体" w:hAnsi="Calibri" w:eastAsia="黑体" w:cs="Times New Roman"/>
          <w:kern w:val="0"/>
          <w:sz w:val="32"/>
          <w:szCs w:val="20"/>
          <w:lang w:val="en-US" w:eastAsia="zh-CN" w:bidi="ar-SA"/>
        </w:rPr>
        <w:tag w:val="StandardName"/>
        <w:id w:val="147450916"/>
        <w:lock w:val="sdtLocked"/>
        <w:placeholder>
          <w:docPart w:val="{56b588f5-8e2b-4ba8-b861-1dfde9382c54}"/>
        </w:placeholder>
      </w:sdtPr>
      <w:sdtEndPr>
        <w:rPr>
          <w:rFonts w:hint="eastAsia" w:ascii="黑体" w:hAnsi="Calibri" w:eastAsia="黑体" w:cs="Times New Roman"/>
          <w:kern w:val="0"/>
          <w:sz w:val="32"/>
          <w:szCs w:val="20"/>
          <w:lang w:val="en-US" w:eastAsia="zh-CN" w:bidi="ar-SA"/>
        </w:rPr>
      </w:sdtEndPr>
      <w:sdtContent>
        <w:p>
          <w:pPr>
            <w:pStyle w:val="54"/>
            <w:bidi w:val="0"/>
            <w:rPr>
              <w:rStyle w:val="118"/>
              <w:rFonts w:hint="eastAsia"/>
              <w:lang w:val="en-US" w:eastAsia="zh-CN"/>
            </w:rPr>
          </w:pPr>
          <w:bookmarkStart w:id="20" w:name="StandardName"/>
          <w:r>
            <w:rPr>
              <w:rFonts w:hint="eastAsia" w:hAnsi="Calibri" w:cs="Times New Roman"/>
              <w:kern w:val="0"/>
              <w:sz w:val="32"/>
              <w:szCs w:val="20"/>
              <w:lang w:val="en-US" w:eastAsia="zh-CN" w:bidi="ar-SA"/>
            </w:rPr>
            <w:t>地理标志产品 桓仁山参</w:t>
          </w:r>
          <w:bookmarkEnd w:id="20"/>
        </w:p>
      </w:sdtContent>
    </w:sdt>
    <w:p>
      <w:pPr>
        <w:pStyle w:val="70"/>
        <w:bidi w:val="0"/>
        <w:rPr>
          <w:rStyle w:val="118"/>
          <w:rFonts w:hint="eastAsia"/>
          <w:lang w:val="en-US" w:eastAsia="zh-CN"/>
        </w:rPr>
      </w:pPr>
      <w:r>
        <w:rPr>
          <w:rFonts w:hint="default"/>
          <w:lang w:val="en-US" w:eastAsia="zh-CN"/>
        </w:rPr>
        <w:t>范围</w:t>
      </w:r>
    </w:p>
    <w:p>
      <w:pPr>
        <w:pStyle w:val="23"/>
        <w:rPr>
          <w:rFonts w:hint="default"/>
          <w:highlight w:val="none"/>
          <w:lang w:val="en-US" w:eastAsia="zh-CN"/>
        </w:rPr>
      </w:pPr>
      <w:r>
        <w:rPr>
          <w:rFonts w:hint="default"/>
          <w:lang w:val="en-US" w:eastAsia="zh-CN"/>
        </w:rPr>
        <w:t>本标准规定了</w:t>
      </w:r>
      <w:r>
        <w:rPr>
          <w:rFonts w:hint="eastAsia"/>
          <w:lang w:val="en-US" w:eastAsia="zh-CN"/>
        </w:rPr>
        <w:t>地理标志产品</w:t>
      </w:r>
      <w:r>
        <w:rPr>
          <w:rFonts w:hint="default"/>
          <w:lang w:val="en-US" w:eastAsia="zh-CN"/>
        </w:rPr>
        <w:t>桓仁山参的</w:t>
      </w:r>
      <w:r>
        <w:rPr>
          <w:rFonts w:hint="default"/>
          <w:highlight w:val="none"/>
          <w:lang w:val="en-US" w:eastAsia="zh-CN"/>
        </w:rPr>
        <w:t>术语和定义，地理标志产品保护范围，技术要求，检验方法，检验规则，标志、包装</w:t>
      </w:r>
      <w:r>
        <w:rPr>
          <w:rFonts w:hint="eastAsia"/>
          <w:highlight w:val="none"/>
          <w:lang w:val="en-US" w:eastAsia="zh-CN"/>
        </w:rPr>
        <w:t>、</w:t>
      </w:r>
      <w:r>
        <w:rPr>
          <w:rFonts w:hint="default"/>
          <w:highlight w:val="none"/>
          <w:lang w:val="en-US" w:eastAsia="zh-CN"/>
        </w:rPr>
        <w:t>运输</w:t>
      </w:r>
      <w:r>
        <w:rPr>
          <w:rFonts w:hint="eastAsia"/>
          <w:highlight w:val="none"/>
          <w:lang w:val="en-US" w:eastAsia="zh-CN"/>
        </w:rPr>
        <w:t>和</w:t>
      </w:r>
      <w:r>
        <w:rPr>
          <w:rFonts w:hint="default"/>
          <w:highlight w:val="none"/>
          <w:lang w:val="en-US" w:eastAsia="zh-CN"/>
        </w:rPr>
        <w:t>贮存。</w:t>
      </w:r>
    </w:p>
    <w:p>
      <w:pPr>
        <w:pStyle w:val="23"/>
        <w:ind w:firstLine="420"/>
        <w:rPr>
          <w:rFonts w:hint="eastAsia"/>
          <w:lang w:val="en-US" w:eastAsia="zh-CN"/>
        </w:rPr>
      </w:pPr>
      <w:r>
        <w:rPr>
          <w:rFonts w:hint="eastAsia" w:hAnsi="Times New Roman" w:cs="Times New Roman"/>
          <w:lang w:val="en-US" w:eastAsia="zh-CN"/>
        </w:rPr>
        <w:t>本文件适用于原国家质量监督检验检疫总局200</w:t>
      </w:r>
      <w:r>
        <w:rPr>
          <w:rFonts w:hint="eastAsia" w:cs="Times New Roman"/>
          <w:lang w:val="en-US" w:eastAsia="zh-CN"/>
        </w:rPr>
        <w:t>8</w:t>
      </w:r>
      <w:r>
        <w:rPr>
          <w:rFonts w:hint="eastAsia" w:hAnsi="Times New Roman" w:cs="Times New Roman"/>
          <w:lang w:val="en-US" w:eastAsia="zh-CN"/>
        </w:rPr>
        <w:t>年第</w:t>
      </w:r>
      <w:r>
        <w:rPr>
          <w:rFonts w:hint="eastAsia" w:cs="Times New Roman"/>
          <w:lang w:val="en-US" w:eastAsia="zh-CN"/>
        </w:rPr>
        <w:t>65</w:t>
      </w:r>
      <w:r>
        <w:rPr>
          <w:rFonts w:hint="eastAsia" w:hAnsi="Times New Roman" w:cs="Times New Roman"/>
          <w:lang w:val="en-US" w:eastAsia="zh-CN"/>
        </w:rPr>
        <w:t>号公告批准保护的</w:t>
      </w:r>
      <w:r>
        <w:rPr>
          <w:rFonts w:hint="eastAsia"/>
          <w:lang w:val="en-US" w:eastAsia="zh-CN"/>
        </w:rPr>
        <w:t>地理标志产品</w:t>
      </w:r>
      <w:r>
        <w:rPr>
          <w:rFonts w:hint="eastAsia" w:hAnsi="Times New Roman" w:cs="Times New Roman"/>
          <w:lang w:val="en-US" w:eastAsia="zh-CN"/>
        </w:rPr>
        <w:t>桓仁</w:t>
      </w:r>
      <w:r>
        <w:rPr>
          <w:rFonts w:hint="eastAsia"/>
          <w:lang w:val="en-US" w:eastAsia="zh-CN"/>
        </w:rPr>
        <w:t>蛤蟆油</w:t>
      </w:r>
      <w:r>
        <w:rPr>
          <w:rFonts w:hint="eastAsia"/>
        </w:rPr>
        <w:t>。</w:t>
      </w:r>
    </w:p>
    <w:p>
      <w:pPr>
        <w:pStyle w:val="70"/>
        <w:bidi w:val="0"/>
        <w:rPr>
          <w:rFonts w:hint="eastAsia"/>
          <w:lang w:val="en-US" w:eastAsia="zh-CN"/>
        </w:rPr>
      </w:pPr>
      <w:r>
        <w:rPr>
          <w:rFonts w:hint="default"/>
          <w:lang w:val="en-US" w:eastAsia="zh-CN"/>
        </w:rPr>
        <w:t>规范性引用文件</w:t>
      </w:r>
    </w:p>
    <w:sdt>
      <w:sdtPr>
        <w:rPr>
          <w:rFonts w:hint="eastAsia" w:ascii="宋体" w:hAnsi="Times New Roman" w:eastAsia="宋体" w:cs="宋体"/>
          <w:sz w:val="21"/>
          <w:lang w:val="en-US" w:eastAsia="zh-CN"/>
        </w:rPr>
        <w:tag w:val="StandNameFile"/>
        <w:id w:val="147461185"/>
        <w:placeholder>
          <w:docPart w:val="{0c46c696-d568-4df9-baa7-c3978d33d934}"/>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191 包装储运图示标志</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5009.3　食品安全国家标准  食品中水分的测定</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5009.4　食品安全国家标准  食品中灰分的测定</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7718</w:t>
      </w:r>
      <w:r>
        <w:rPr>
          <w:rFonts w:hint="eastAsia" w:hAnsi="Times New Roman" w:cs="宋体"/>
          <w:sz w:val="21"/>
          <w:lang w:val="en-US" w:eastAsia="zh-CN"/>
        </w:rPr>
        <w:t xml:space="preserve"> </w:t>
      </w:r>
      <w:r>
        <w:rPr>
          <w:rFonts w:hint="eastAsia" w:ascii="宋体" w:hAnsi="Times New Roman" w:eastAsia="宋体" w:cs="宋体"/>
          <w:sz w:val="21"/>
          <w:lang w:val="en-US" w:eastAsia="zh-CN"/>
        </w:rPr>
        <w:t>食品安全国家标准  预包装食品标签通则</w:t>
      </w:r>
    </w:p>
    <w:p>
      <w:pPr>
        <w:pStyle w:val="23"/>
        <w:bidi w:val="0"/>
        <w:rPr>
          <w:rFonts w:hint="default" w:ascii="宋体" w:hAnsi="Times New Roman" w:eastAsia="宋体" w:cs="宋体"/>
          <w:sz w:val="21"/>
          <w:lang w:val="en-US" w:eastAsia="zh-CN"/>
        </w:rPr>
      </w:pPr>
      <w:r>
        <w:rPr>
          <w:rFonts w:hint="eastAsia" w:hAnsi="Times New Roman" w:cs="宋体"/>
          <w:sz w:val="21"/>
          <w:lang w:val="en-US" w:eastAsia="zh-CN"/>
        </w:rPr>
        <w:t xml:space="preserve">GB 9683 </w:t>
      </w:r>
      <w:r>
        <w:rPr>
          <w:rFonts w:hint="eastAsia" w:ascii="宋体" w:hAnsi="Times New Roman" w:eastAsia="宋体" w:cs="宋体"/>
          <w:sz w:val="21"/>
          <w:lang w:val="en-US" w:eastAsia="zh-CN"/>
        </w:rPr>
        <w:t>复合食品包装袋卫生标准</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18765 野山参鉴定及分等质量</w:t>
      </w:r>
    </w:p>
    <w:p>
      <w:pPr>
        <w:pStyle w:val="23"/>
        <w:bidi w:val="0"/>
        <w:rPr>
          <w:rFonts w:hint="default" w:hAnsi="Times New Roman" w:cs="宋体"/>
          <w:sz w:val="21"/>
          <w:lang w:val="en-US" w:eastAsia="zh-CN"/>
        </w:rPr>
      </w:pPr>
      <w:r>
        <w:rPr>
          <w:rFonts w:hint="eastAsia" w:hAnsi="Times New Roman" w:cs="宋体"/>
          <w:sz w:val="21"/>
          <w:lang w:val="en-US" w:eastAsia="zh-CN"/>
        </w:rPr>
        <w:t>GB/T 22533 鲜园参分等质量</w:t>
      </w:r>
    </w:p>
    <w:p>
      <w:pPr>
        <w:pStyle w:val="23"/>
        <w:bidi w:val="0"/>
        <w:rPr>
          <w:rFonts w:hint="default" w:ascii="宋体" w:hAnsi="Times New Roman" w:eastAsia="宋体" w:cs="宋体"/>
          <w:sz w:val="21"/>
          <w:lang w:val="en-US" w:eastAsia="zh-CN"/>
        </w:rPr>
      </w:pPr>
      <w:r>
        <w:rPr>
          <w:rFonts w:hint="eastAsia" w:hAnsi="Times New Roman" w:cs="宋体"/>
          <w:sz w:val="21"/>
          <w:lang w:val="en-US" w:eastAsia="zh-CN"/>
        </w:rPr>
        <w:t xml:space="preserve">GB 28050 </w:t>
      </w:r>
      <w:r>
        <w:rPr>
          <w:rFonts w:hint="eastAsia" w:ascii="宋体" w:hAnsi="Times New Roman" w:eastAsia="宋体" w:cs="宋体"/>
          <w:sz w:val="21"/>
          <w:lang w:val="en-US" w:eastAsia="zh-CN"/>
        </w:rPr>
        <w:t>食品安全国家标准 预包装食品营养标签通则</w:t>
      </w:r>
    </w:p>
    <w:p>
      <w:pPr>
        <w:pStyle w:val="23"/>
        <w:bidi w:val="0"/>
        <w:rPr>
          <w:rFonts w:hint="eastAsia" w:ascii="宋体" w:hAnsi="Times New Roman" w:eastAsia="宋体" w:cs="宋体"/>
          <w:sz w:val="21"/>
          <w:lang w:val="en-US" w:eastAsia="zh-CN"/>
        </w:rPr>
      </w:pPr>
      <w:r>
        <w:rPr>
          <w:rFonts w:hint="eastAsia" w:hAnsi="Times New Roman" w:cs="宋体"/>
          <w:sz w:val="21"/>
          <w:lang w:val="en-US" w:eastAsia="zh-CN"/>
        </w:rPr>
        <w:t xml:space="preserve">JJF </w:t>
      </w:r>
      <w:r>
        <w:rPr>
          <w:rFonts w:hint="eastAsia" w:ascii="宋体" w:hAnsi="Times New Roman" w:eastAsia="宋体" w:cs="宋体"/>
          <w:sz w:val="21"/>
          <w:lang w:val="en-US" w:eastAsia="zh-CN"/>
        </w:rPr>
        <w:t>1070 定量包装商品净含量计量检验规则</w:t>
      </w:r>
    </w:p>
    <w:p>
      <w:pPr>
        <w:pStyle w:val="23"/>
        <w:bidi w:val="0"/>
        <w:rPr>
          <w:rFonts w:hint="default" w:ascii="宋体" w:hAnsi="Times New Roman" w:eastAsia="宋体" w:cs="宋体"/>
          <w:sz w:val="21"/>
          <w:lang w:val="en-US" w:eastAsia="zh-CN"/>
        </w:rPr>
      </w:pPr>
      <w:r>
        <w:rPr>
          <w:rFonts w:hint="eastAsia" w:ascii="宋体" w:hAnsi="Times New Roman" w:eastAsia="宋体" w:cs="宋体"/>
          <w:sz w:val="21"/>
          <w:lang w:val="en-US" w:eastAsia="zh-CN"/>
        </w:rPr>
        <w:t>国家</w:t>
      </w:r>
      <w:r>
        <w:rPr>
          <w:rFonts w:hint="eastAsia" w:cs="宋体"/>
          <w:sz w:val="21"/>
          <w:lang w:val="en-US" w:eastAsia="zh-CN"/>
        </w:rPr>
        <w:t>市场</w:t>
      </w:r>
      <w:r>
        <w:rPr>
          <w:rFonts w:hint="eastAsia" w:ascii="宋体" w:hAnsi="Times New Roman" w:eastAsia="宋体" w:cs="宋体"/>
          <w:sz w:val="21"/>
          <w:lang w:val="en-US" w:eastAsia="zh-CN"/>
        </w:rPr>
        <w:t>监督</w:t>
      </w:r>
      <w:r>
        <w:rPr>
          <w:rFonts w:hint="eastAsia" w:cs="宋体"/>
          <w:sz w:val="21"/>
          <w:lang w:val="en-US" w:eastAsia="zh-CN"/>
        </w:rPr>
        <w:t>管理</w:t>
      </w:r>
      <w:r>
        <w:rPr>
          <w:rFonts w:hint="eastAsia" w:ascii="宋体" w:hAnsi="Times New Roman" w:eastAsia="宋体" w:cs="宋体"/>
          <w:sz w:val="21"/>
          <w:lang w:val="en-US" w:eastAsia="zh-CN"/>
        </w:rPr>
        <w:t>总局</w:t>
      </w:r>
      <w:r>
        <w:rPr>
          <w:rFonts w:hint="eastAsia" w:cs="宋体"/>
          <w:sz w:val="21"/>
          <w:lang w:val="en-US" w:eastAsia="zh-CN"/>
        </w:rPr>
        <w:t>令</w:t>
      </w:r>
      <w:r>
        <w:rPr>
          <w:rFonts w:hint="eastAsia" w:ascii="宋体" w:hAnsi="Times New Roman" w:eastAsia="宋体" w:cs="宋体"/>
          <w:sz w:val="21"/>
          <w:lang w:val="en-US" w:eastAsia="zh-CN"/>
        </w:rPr>
        <w:t>第7</w:t>
      </w:r>
      <w:r>
        <w:rPr>
          <w:rFonts w:hint="eastAsia" w:cs="宋体"/>
          <w:sz w:val="21"/>
          <w:lang w:val="en-US" w:eastAsia="zh-CN"/>
        </w:rPr>
        <w:t>0</w:t>
      </w:r>
      <w:r>
        <w:rPr>
          <w:rFonts w:hint="eastAsia" w:ascii="宋体" w:hAnsi="Times New Roman" w:eastAsia="宋体" w:cs="宋体"/>
          <w:sz w:val="21"/>
          <w:lang w:val="en-US" w:eastAsia="zh-CN"/>
        </w:rPr>
        <w:t>号《定量包装商品计量监督管理办法》</w:t>
      </w:r>
    </w:p>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《中华人民共和国药典》2020年版（一部）</w:t>
      </w:r>
    </w:p>
    <w:p>
      <w:pPr>
        <w:pStyle w:val="70"/>
        <w:bidi w:val="0"/>
        <w:rPr>
          <w:rFonts w:hint="eastAsia" w:ascii="宋体" w:hAnsi="Times New Roman" w:eastAsia="宋体" w:cs="宋体"/>
          <w:lang w:val="en-US" w:eastAsia="zh-CN"/>
        </w:rPr>
      </w:pPr>
      <w:r>
        <w:rPr>
          <w:rFonts w:hint="default"/>
          <w:lang w:val="en-US" w:eastAsia="zh-CN"/>
        </w:rPr>
        <w:t>术语和定义</w:t>
      </w:r>
    </w:p>
    <w:sdt>
      <w:sdtPr>
        <w:rPr>
          <w:rFonts w:hint="default" w:ascii="宋体" w:hAnsi="Times New Roman" w:eastAsia="宋体" w:cs="宋体"/>
          <w:sz w:val="21"/>
          <w:lang w:val="en-US" w:eastAsia="zh-CN"/>
        </w:rPr>
        <w:tag w:val="TermContent"/>
        <w:id w:val="147461185"/>
        <w:placeholder>
          <w:docPart w:val="{4f5be9b3-0a15-4e14-bac1-022579143ed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宋体" w:hAnsi="Times New Roman" w:eastAsia="宋体" w:cs="宋体"/>
          <w:sz w:val="21"/>
          <w:lang w:val="en-US" w:eastAsia="zh-CN"/>
        </w:rPr>
      </w:sdtEndPr>
      <w:sdtContent>
        <w:p>
          <w:pPr>
            <w:pStyle w:val="23"/>
            <w:rPr>
              <w:rFonts w:hint="default"/>
              <w:lang w:val="en-US" w:eastAsia="zh-CN"/>
            </w:rPr>
          </w:pPr>
          <w:r>
            <w:rPr>
              <w:rFonts w:hint="eastAsia" w:hAnsi="Times New Roman" w:cs="宋体"/>
              <w:sz w:val="21"/>
              <w:lang w:val="en-US" w:eastAsia="zh-CN"/>
            </w:rPr>
            <w:t>GB/T 18765</w:t>
          </w:r>
          <w:r>
            <w:rPr>
              <w:rFonts w:hint="default" w:ascii="宋体" w:hAnsi="Times New Roman" w:eastAsia="宋体" w:cs="宋体"/>
              <w:sz w:val="21"/>
              <w:lang w:val="en-US" w:eastAsia="zh-CN"/>
            </w:rPr>
            <w:t>界定的术语和定义适用于本文件。</w:t>
          </w:r>
        </w:p>
      </w:sdtContent>
    </w:sdt>
    <w:p>
      <w:pPr>
        <w:pStyle w:val="71"/>
        <w:bidi w:val="0"/>
        <w:rPr>
          <w:rFonts w:hint="eastAsia"/>
        </w:rPr>
      </w:pPr>
    </w:p>
    <w:p>
      <w:pPr>
        <w:pStyle w:val="119"/>
        <w:rPr>
          <w:rFonts w:hint="eastAsia" w:ascii="黑体" w:hAnsi="黑体" w:eastAsia="黑体"/>
        </w:rPr>
      </w:pPr>
      <w:r>
        <w:rPr>
          <w:rFonts w:hint="eastAsia" w:ascii="黑体" w:hAnsi="黑体" w:eastAsia="黑体"/>
          <w:color w:val="auto"/>
        </w:rPr>
        <w:t xml:space="preserve">桓仁山参 </w:t>
      </w:r>
      <w:r>
        <w:rPr>
          <w:rFonts w:hint="eastAsia" w:ascii="黑体" w:hAnsi="黑体" w:eastAsia="黑体"/>
          <w:color w:val="auto"/>
          <w:lang w:val="en-US" w:eastAsia="zh-CN"/>
        </w:rPr>
        <w:t>h</w:t>
      </w:r>
      <w:r>
        <w:rPr>
          <w:rFonts w:hint="eastAsia" w:ascii="黑体" w:hAnsi="黑体" w:eastAsia="黑体"/>
          <w:color w:val="auto"/>
        </w:rPr>
        <w:t xml:space="preserve">uanren </w:t>
      </w:r>
      <w:r>
        <w:rPr>
          <w:rFonts w:hint="eastAsia" w:ascii="黑体" w:hAnsi="黑体" w:eastAsia="黑体"/>
          <w:color w:val="auto"/>
          <w:lang w:val="en-US" w:eastAsia="zh-CN"/>
        </w:rPr>
        <w:t>mountain</w:t>
      </w:r>
      <w:r>
        <w:rPr>
          <w:rFonts w:hint="eastAsia" w:ascii="黑体" w:hAnsi="黑体" w:eastAsia="黑体"/>
        </w:rPr>
        <w:t xml:space="preserve"> ginseng</w:t>
      </w:r>
    </w:p>
    <w:p>
      <w:pPr>
        <w:pStyle w:val="119"/>
        <w:rPr>
          <w:rFonts w:hint="eastAsia"/>
          <w:lang w:val="en-US" w:eastAsia="zh-CN"/>
        </w:rPr>
      </w:pPr>
      <w:r>
        <w:rPr>
          <w:rFonts w:hint="eastAsia"/>
          <w:lang w:eastAsia="zh-CN"/>
        </w:rPr>
        <w:t>桓仁山参系指产于辽宁省桓仁满族自治县</w:t>
      </w:r>
      <w:r>
        <w:rPr>
          <w:rFonts w:hint="eastAsia"/>
          <w:lang w:val="en-US" w:eastAsia="zh-CN"/>
        </w:rPr>
        <w:t>,</w:t>
      </w:r>
      <w:r>
        <w:rPr>
          <w:rFonts w:hint="eastAsia"/>
          <w:lang w:eastAsia="zh-CN"/>
        </w:rPr>
        <w:t>通过人为播种方式将人参籽播种在适宜的森林环境条件下，自然生长</w:t>
      </w:r>
      <w:r>
        <w:rPr>
          <w:rFonts w:hint="eastAsia"/>
          <w:lang w:val="en-US" w:eastAsia="zh-CN"/>
        </w:rPr>
        <w:t>15年及以上的人参。</w:t>
      </w:r>
    </w:p>
    <w:p>
      <w:pPr>
        <w:pStyle w:val="71"/>
        <w:bidi w:val="0"/>
        <w:rPr>
          <w:rFonts w:hint="eastAsia"/>
          <w:lang w:val="en-US" w:eastAsia="zh-CN"/>
        </w:rPr>
      </w:pPr>
    </w:p>
    <w:p>
      <w:pPr>
        <w:pStyle w:val="119"/>
        <w:rPr>
          <w:rFonts w:hint="eastAsia" w:ascii="黑体" w:hAnsi="黑体" w:eastAsia="黑体"/>
        </w:rPr>
      </w:pPr>
      <w:r>
        <w:rPr>
          <w:rFonts w:hint="eastAsia" w:ascii="黑体" w:hAnsi="黑体" w:eastAsia="黑体"/>
          <w:color w:val="auto"/>
          <w:lang w:val="en-US" w:eastAsia="zh-CN"/>
        </w:rPr>
        <w:t>鲜桓仁山参 fresh huanren mountain</w:t>
      </w:r>
      <w:r>
        <w:rPr>
          <w:rFonts w:hint="eastAsia" w:ascii="黑体" w:hAnsi="黑体" w:eastAsia="黑体"/>
        </w:rPr>
        <w:t xml:space="preserve"> ginseng</w:t>
      </w:r>
    </w:p>
    <w:p>
      <w:pPr>
        <w:pStyle w:val="119"/>
        <w:rPr>
          <w:rFonts w:hint="default"/>
          <w:lang w:val="en-US" w:eastAsia="zh-CN"/>
        </w:rPr>
      </w:pPr>
      <w:r>
        <w:rPr>
          <w:rFonts w:hint="eastAsia"/>
          <w:lang w:val="en-US" w:eastAsia="zh-CN"/>
        </w:rPr>
        <w:t>采挖后未经加工的桓仁山参。</w:t>
      </w:r>
    </w:p>
    <w:p>
      <w:pPr>
        <w:pStyle w:val="71"/>
        <w:bidi w:val="0"/>
        <w:rPr>
          <w:rFonts w:hint="default"/>
          <w:lang w:val="en-US" w:eastAsia="zh-CN"/>
        </w:rPr>
      </w:pPr>
    </w:p>
    <w:p>
      <w:pPr>
        <w:pStyle w:val="119"/>
        <w:rPr>
          <w:rFonts w:hint="eastAsia" w:ascii="黑体" w:hAnsi="黑体" w:eastAsia="黑体"/>
        </w:rPr>
      </w:pPr>
      <w:r>
        <w:rPr>
          <w:rFonts w:hint="eastAsia" w:ascii="黑体" w:hAnsi="黑体" w:eastAsia="黑体"/>
          <w:color w:val="auto"/>
          <w:lang w:val="en-US" w:eastAsia="zh-CN"/>
        </w:rPr>
        <w:t>生晒桓仁山参 dried huanren mountain</w:t>
      </w:r>
      <w:r>
        <w:rPr>
          <w:rFonts w:hint="eastAsia" w:ascii="黑体" w:hAnsi="黑体" w:eastAsia="黑体"/>
        </w:rPr>
        <w:t xml:space="preserve"> ginseng</w:t>
      </w:r>
    </w:p>
    <w:p>
      <w:pPr>
        <w:pStyle w:val="23"/>
        <w:rPr>
          <w:rFonts w:hint="eastAsia"/>
          <w:lang w:val="en-US" w:eastAsia="zh-CN"/>
        </w:rPr>
      </w:pPr>
      <w:r>
        <w:rPr>
          <w:rFonts w:hint="eastAsia"/>
          <w:lang w:val="en-US" w:eastAsia="zh-CN"/>
        </w:rPr>
        <w:t>鲜桓仁山参经洗刷后烘干或晒干的产品。</w:t>
      </w:r>
    </w:p>
    <w:p>
      <w:pPr>
        <w:pStyle w:val="71"/>
        <w:bidi w:val="0"/>
        <w:rPr>
          <w:rFonts w:hint="default"/>
          <w:lang w:val="en-US" w:eastAsia="zh-CN"/>
        </w:rPr>
      </w:pPr>
    </w:p>
    <w:p>
      <w:pPr>
        <w:pStyle w:val="119"/>
        <w:rPr>
          <w:rFonts w:hint="eastAsia" w:ascii="黑体" w:hAnsi="黑体" w:eastAsia="黑体"/>
          <w:lang w:val="en-US" w:eastAsia="zh-CN"/>
        </w:rPr>
      </w:pPr>
      <w:r>
        <w:rPr>
          <w:rFonts w:hint="eastAsia" w:ascii="黑体" w:hAnsi="黑体" w:eastAsia="黑体"/>
          <w:lang w:val="en-US" w:eastAsia="zh-CN"/>
        </w:rPr>
        <w:t xml:space="preserve">桓仁山参片 the slices of huanren mountain ginseng </w:t>
      </w:r>
    </w:p>
    <w:p>
      <w:pPr>
        <w:pStyle w:val="119"/>
        <w:rPr>
          <w:rFonts w:hint="default" w:ascii="宋体" w:hAnsi="Times New Roman" w:eastAsia="宋体" w:cs="宋体"/>
          <w:sz w:val="21"/>
          <w:lang w:val="en-US" w:eastAsia="zh-CN"/>
        </w:rPr>
      </w:pPr>
      <w:r>
        <w:rPr>
          <w:rFonts w:hint="eastAsia" w:ascii="宋体" w:hAnsi="Times New Roman" w:eastAsia="宋体" w:cs="宋体"/>
          <w:sz w:val="21"/>
          <w:lang w:val="en-US" w:eastAsia="zh-CN"/>
        </w:rPr>
        <w:t>将桓仁山参</w:t>
      </w:r>
      <w:r>
        <w:rPr>
          <w:rFonts w:hint="eastAsia" w:cs="宋体"/>
          <w:sz w:val="21"/>
          <w:lang w:val="en-US" w:eastAsia="zh-CN"/>
        </w:rPr>
        <w:t>加工</w:t>
      </w:r>
      <w:r>
        <w:rPr>
          <w:rFonts w:hint="eastAsia" w:ascii="宋体" w:hAnsi="Times New Roman" w:eastAsia="宋体" w:cs="宋体"/>
          <w:sz w:val="21"/>
          <w:lang w:val="en-US" w:eastAsia="zh-CN"/>
        </w:rPr>
        <w:t>切至</w:t>
      </w:r>
      <w:r>
        <w:rPr>
          <w:rFonts w:hint="eastAsia" w:cs="宋体"/>
          <w:sz w:val="21"/>
          <w:lang w:val="en-US" w:eastAsia="zh-CN"/>
        </w:rPr>
        <w:t>0.3mm-3 mm的</w:t>
      </w:r>
      <w:r>
        <w:rPr>
          <w:rFonts w:hint="eastAsia" w:ascii="宋体" w:hAnsi="Times New Roman" w:eastAsia="宋体" w:cs="宋体"/>
          <w:sz w:val="21"/>
          <w:lang w:val="en-US" w:eastAsia="zh-CN"/>
        </w:rPr>
        <w:t>薄片。</w:t>
      </w:r>
    </w:p>
    <w:p>
      <w:pPr>
        <w:pStyle w:val="71"/>
        <w:bidi w:val="0"/>
        <w:rPr>
          <w:rFonts w:hint="default"/>
          <w:lang w:val="en-US" w:eastAsia="zh-CN"/>
        </w:rPr>
      </w:pPr>
    </w:p>
    <w:p>
      <w:pPr>
        <w:pStyle w:val="71"/>
        <w:numPr>
          <w:ilvl w:val="1"/>
          <w:numId w:val="0"/>
        </w:numPr>
        <w:bidi w:val="0"/>
        <w:ind w:leftChars="0" w:firstLine="420" w:firstLineChars="200"/>
        <w:rPr>
          <w:rFonts w:hint="eastAsia" w:hAnsi="黑体"/>
          <w:lang w:val="en-US" w:eastAsia="zh-CN"/>
        </w:rPr>
      </w:pPr>
      <w:r>
        <w:rPr>
          <w:rFonts w:hint="eastAsia"/>
          <w:lang w:val="en-US" w:eastAsia="zh-CN"/>
        </w:rPr>
        <w:t xml:space="preserve">桓仁山参粉 the </w:t>
      </w:r>
      <w:r>
        <w:rPr>
          <w:rFonts w:hint="eastAsia" w:hAnsi="黑体"/>
          <w:lang w:val="en-US" w:eastAsia="zh-CN"/>
        </w:rPr>
        <w:t>powder</w:t>
      </w:r>
      <w:r>
        <w:rPr>
          <w:rFonts w:hint="eastAsia" w:ascii="黑体" w:hAnsi="黑体" w:eastAsia="黑体"/>
          <w:lang w:val="en-US" w:eastAsia="zh-CN"/>
        </w:rPr>
        <w:t xml:space="preserve"> of </w:t>
      </w:r>
      <w:r>
        <w:rPr>
          <w:rFonts w:hint="eastAsia" w:ascii="黑体" w:hAnsi="黑体" w:eastAsia="黑体"/>
          <w:color w:val="auto"/>
          <w:lang w:val="en-US" w:eastAsia="zh-CN"/>
        </w:rPr>
        <w:t>h</w:t>
      </w:r>
      <w:r>
        <w:rPr>
          <w:rFonts w:hint="eastAsia" w:ascii="黑体" w:hAnsi="黑体" w:eastAsia="黑体"/>
          <w:color w:val="auto"/>
        </w:rPr>
        <w:t xml:space="preserve">uanren </w:t>
      </w:r>
      <w:r>
        <w:rPr>
          <w:rFonts w:hint="eastAsia" w:ascii="黑体" w:hAnsi="黑体" w:eastAsia="黑体"/>
          <w:color w:val="auto"/>
          <w:lang w:val="en-US" w:eastAsia="zh-CN"/>
        </w:rPr>
        <w:t>mountain</w:t>
      </w:r>
      <w:r>
        <w:rPr>
          <w:rFonts w:hint="eastAsia" w:ascii="黑体" w:hAnsi="黑体" w:eastAsia="黑体"/>
        </w:rPr>
        <w:t xml:space="preserve"> ginseng</w:t>
      </w:r>
      <w:r>
        <w:rPr>
          <w:rFonts w:hint="eastAsia" w:hAnsi="黑体"/>
          <w:lang w:val="en-US" w:eastAsia="zh-CN"/>
        </w:rPr>
        <w:t xml:space="preserve"> </w:t>
      </w:r>
    </w:p>
    <w:p>
      <w:pPr>
        <w:pStyle w:val="23"/>
        <w:rPr>
          <w:rFonts w:hint="default"/>
          <w:lang w:val="en-US" w:eastAsia="zh-CN"/>
        </w:rPr>
      </w:pPr>
      <w:r>
        <w:rPr>
          <w:rFonts w:hint="eastAsia"/>
          <w:lang w:val="en-US" w:eastAsia="zh-CN"/>
        </w:rPr>
        <w:t>粉碎至60-100目的桓仁山参粉末。</w:t>
      </w:r>
    </w:p>
    <w:p>
      <w:pPr>
        <w:pStyle w:val="70"/>
        <w:bidi w:val="0"/>
        <w:rPr>
          <w:rFonts w:hint="eastAsia"/>
          <w:lang w:val="en-US" w:eastAsia="zh-CN"/>
        </w:rPr>
      </w:pPr>
      <w:r>
        <w:rPr>
          <w:rFonts w:hint="eastAsia"/>
          <w:lang w:val="en-US" w:eastAsia="zh-CN"/>
        </w:rPr>
        <w:t>地理标志产品保护范围</w:t>
      </w:r>
    </w:p>
    <w:p>
      <w:pPr>
        <w:pStyle w:val="23"/>
        <w:rPr>
          <w:rFonts w:hint="eastAsia"/>
          <w:lang w:val="en-US" w:eastAsia="zh-CN"/>
        </w:rPr>
      </w:pPr>
      <w:r>
        <w:rPr>
          <w:rFonts w:hint="eastAsia"/>
          <w:lang w:val="en-US" w:eastAsia="zh-CN"/>
        </w:rPr>
        <w:t>辽宁省本溪市桓仁满族自治县现辖行政区域范围。见附录A</w:t>
      </w:r>
    </w:p>
    <w:p>
      <w:pPr>
        <w:pStyle w:val="70"/>
        <w:bidi w:val="0"/>
        <w:rPr>
          <w:rFonts w:hint="eastAsia"/>
          <w:lang w:val="en-US" w:eastAsia="zh-CN"/>
        </w:rPr>
      </w:pPr>
      <w:r>
        <w:rPr>
          <w:rFonts w:hint="eastAsia"/>
          <w:lang w:val="en-US" w:eastAsia="zh-CN"/>
        </w:rPr>
        <w:t>技术要求</w:t>
      </w:r>
    </w:p>
    <w:p>
      <w:pPr>
        <w:pStyle w:val="71"/>
        <w:bidi w:val="0"/>
        <w:rPr>
          <w:rFonts w:hint="eastAsia"/>
          <w:lang w:val="en-US" w:eastAsia="zh-CN"/>
        </w:rPr>
      </w:pPr>
      <w:r>
        <w:rPr>
          <w:rFonts w:hint="eastAsia"/>
          <w:lang w:val="en-US" w:eastAsia="zh-CN"/>
        </w:rPr>
        <w:t>基本要求</w:t>
      </w:r>
    </w:p>
    <w:p>
      <w:pPr>
        <w:pStyle w:val="72"/>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体态自然，表皮颜色为黄白色，有光泽，皮老紧实，芦碗排列整齐有序，形体逐个缩小，芦细长，芦长≥3.5cm，艼1至2条为佳，主根为短横体，主根长≥2.5cm，环纹细而深；侧根2至3条，须根长≥15cm，疏而不乱，体须比例约为1：7。</w:t>
      </w:r>
    </w:p>
    <w:p>
      <w:pPr>
        <w:pStyle w:val="72"/>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参龄为15年及以上。</w:t>
      </w:r>
    </w:p>
    <w:p>
      <w:pPr>
        <w:pStyle w:val="72"/>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不得人为的改变原有自然性状。</w:t>
      </w:r>
    </w:p>
    <w:p>
      <w:pPr>
        <w:pStyle w:val="72"/>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应清洁、无明显病虫害。</w:t>
      </w:r>
    </w:p>
    <w:p>
      <w:pPr>
        <w:pStyle w:val="72"/>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外部应无腐烂、严重瘀伤及其他不适应销售的缺陷。</w:t>
      </w:r>
    </w:p>
    <w:p>
      <w:pPr>
        <w:pStyle w:val="71"/>
        <w:bidi w:val="0"/>
        <w:rPr>
          <w:rFonts w:hint="eastAsia"/>
          <w:lang w:val="en-US" w:eastAsia="zh-CN"/>
        </w:rPr>
      </w:pPr>
      <w:r>
        <w:rPr>
          <w:rFonts w:hint="eastAsia"/>
          <w:lang w:val="en-US" w:eastAsia="zh-CN"/>
        </w:rPr>
        <w:t>等级要求</w:t>
      </w:r>
    </w:p>
    <w:p>
      <w:pPr>
        <w:pStyle w:val="72"/>
        <w:bidi w:val="0"/>
        <w:rPr>
          <w:rFonts w:hint="eastAsia"/>
          <w:lang w:val="en-US" w:eastAsia="zh-CN"/>
        </w:rPr>
      </w:pPr>
      <w:r>
        <w:rPr>
          <w:rFonts w:hint="eastAsia"/>
          <w:lang w:val="en-US" w:eastAsia="zh-CN"/>
        </w:rPr>
        <w:t>性状</w:t>
      </w:r>
    </w:p>
    <w:p>
      <w:pPr>
        <w:pStyle w:val="23"/>
        <w:rPr>
          <w:rFonts w:hint="default"/>
          <w:lang w:val="en-US" w:eastAsia="zh-CN"/>
        </w:rPr>
      </w:pPr>
      <w:r>
        <w:rPr>
          <w:rFonts w:hint="eastAsia"/>
          <w:lang w:val="en-US" w:eastAsia="zh-CN"/>
        </w:rPr>
        <w:t>桓仁山参性状要求应满足《中华人民共和国药典》2020年版（一部）。</w:t>
      </w:r>
    </w:p>
    <w:p>
      <w:pPr>
        <w:pStyle w:val="72"/>
        <w:bidi w:val="0"/>
        <w:rPr>
          <w:rFonts w:hint="eastAsia"/>
          <w:lang w:val="en-US" w:eastAsia="zh-CN"/>
        </w:rPr>
      </w:pPr>
      <w:r>
        <w:rPr>
          <w:rFonts w:hint="eastAsia"/>
          <w:lang w:val="en-US" w:eastAsia="zh-CN"/>
        </w:rPr>
        <w:t>鲜桓仁山参</w:t>
      </w:r>
    </w:p>
    <w:p>
      <w:pPr>
        <w:pStyle w:val="23"/>
        <w:rPr>
          <w:rFonts w:hint="eastAsia"/>
          <w:lang w:val="en-US" w:eastAsia="zh-CN"/>
        </w:rPr>
      </w:pPr>
      <w:r>
        <w:rPr>
          <w:rFonts w:hint="eastAsia"/>
          <w:lang w:val="en-US" w:eastAsia="zh-CN"/>
        </w:rPr>
        <w:t>鲜桓仁山参等级在性状上应满足表1的要求，分为特等、一等、二等、三等四个等级。</w:t>
      </w:r>
    </w:p>
    <w:p>
      <w:pPr>
        <w:pStyle w:val="111"/>
        <w:bidi w:val="0"/>
        <w:rPr>
          <w:rFonts w:hint="eastAsia"/>
          <w:lang w:val="en-US" w:eastAsia="zh-CN"/>
        </w:rPr>
      </w:pPr>
      <w:r>
        <w:rPr>
          <w:rFonts w:hint="eastAsia"/>
          <w:lang w:val="en-US" w:eastAsia="zh-CN"/>
        </w:rPr>
        <w:t>鲜桓仁山参等级</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特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一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二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芦</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三节芦，芦碗紧密，芦较长，个别双芦或三芦，芽苞完整</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hAnsi="Times New Roman"/>
                <w:color w:val="000000"/>
                <w:kern w:val="0"/>
                <w:sz w:val="18"/>
                <w:szCs w:val="18"/>
                <w:lang w:val="en-US" w:eastAsia="zh-CN"/>
              </w:rPr>
              <w:t>二</w:t>
            </w:r>
            <w:r>
              <w:rPr>
                <w:rFonts w:hint="eastAsia" w:ascii="宋体" w:hAnsi="Times New Roman"/>
                <w:color w:val="000000"/>
                <w:kern w:val="0"/>
                <w:sz w:val="18"/>
                <w:szCs w:val="18"/>
              </w:rPr>
              <w:t>节芦或三节芦，芦碗紧密，个别三芦以上，芽苞完整</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一节或</w:t>
            </w:r>
            <w:r>
              <w:rPr>
                <w:rFonts w:hint="eastAsia" w:hAnsi="Times New Roman"/>
                <w:color w:val="000000"/>
                <w:kern w:val="0"/>
                <w:sz w:val="18"/>
                <w:szCs w:val="18"/>
                <w:lang w:val="en-US" w:eastAsia="zh-CN"/>
              </w:rPr>
              <w:t>二</w:t>
            </w:r>
            <w:r>
              <w:rPr>
                <w:rFonts w:hint="eastAsia" w:ascii="宋体" w:hAnsi="Times New Roman"/>
                <w:color w:val="000000"/>
                <w:kern w:val="0"/>
                <w:sz w:val="18"/>
                <w:szCs w:val="18"/>
              </w:rPr>
              <w:t>节芦，芦碗较大，芦碗排列扭曲，有残缺、疤痕</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断</w:t>
            </w:r>
            <w:r>
              <w:rPr>
                <w:rFonts w:hint="eastAsia" w:ascii="宋体" w:hAnsi="宋体"/>
                <w:color w:val="000000"/>
                <w:kern w:val="0"/>
                <w:sz w:val="18"/>
                <w:szCs w:val="18"/>
              </w:rPr>
              <w:t>芦，</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kern w:val="0"/>
                <w:sz w:val="18"/>
                <w:szCs w:val="18"/>
              </w:rPr>
              <w:t>艼</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枣核艼，艼重量不得超过主体50%，不跑浆</w:t>
            </w:r>
          </w:p>
        </w:tc>
        <w:tc>
          <w:tcPr>
            <w:tcW w:w="1914" w:type="dxa"/>
            <w:vAlign w:val="center"/>
          </w:tcPr>
          <w:p>
            <w:pPr>
              <w:widowControl/>
              <w:adjustRightInd/>
              <w:spacing w:before="156" w:beforeLines="50" w:after="156" w:afterLines="50" w:line="240" w:lineRule="auto"/>
              <w:outlineLvl w:val="2"/>
              <w:rPr>
                <w:rFonts w:hint="eastAsia"/>
                <w:lang w:val="en-US" w:eastAsia="zh-CN"/>
              </w:rPr>
            </w:pPr>
            <w:r>
              <w:rPr>
                <w:rFonts w:hint="eastAsia" w:ascii="宋体" w:hAnsi="Times New Roman"/>
                <w:color w:val="000000"/>
                <w:kern w:val="0"/>
                <w:sz w:val="18"/>
                <w:szCs w:val="18"/>
              </w:rPr>
              <w:t>枣核艼、蒜瓣艼或毛毛艼，艼重量不得超过主体50%，不跑浆</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有毛毛艼、顺长艼或艼变，艼大，有疤痕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断艼，有残缺、疤痕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sz w:val="18"/>
                <w:szCs w:val="18"/>
              </w:rPr>
              <w:t>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灵体、疙瘩体，黄褐色或淡黄白色，紧皮细腻，有光泽，腿分档自然，不跑浆，无疤痕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顺体、过梁体，黄褐色或淡黄白色，紧皮细腻，有光泽，腿分档自然，不跑浆，无疤痕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顺体、笨体、横体，黄褐色或黄白色，皮较松，体小、艼变、有疤痕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断体，</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sz w:val="18"/>
                <w:szCs w:val="18"/>
              </w:rPr>
              <w:t>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主体上部环纹细而深，紧皮细纹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主体上部环纹明显</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主体上部的环纹不全，断纹或纹较少</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主体上部的环纹不全，断纹或纹较少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olor w:val="000000"/>
                <w:sz w:val="18"/>
                <w:szCs w:val="18"/>
              </w:rPr>
              <w:t>须</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细而长，柔韧不脆，疏而不乱，珍珠点明显，主须完整，艼须下伸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须细长，柔韧不脆，主须完整，艼须下伸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须有长有短，柔韧不脆，有残缺</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断须，</w:t>
            </w:r>
            <w:r>
              <w:rPr>
                <w:rFonts w:hint="eastAsia" w:ascii="宋体" w:hAnsi="宋体" w:cs="宋体"/>
                <w:color w:val="000000"/>
                <w:kern w:val="0"/>
                <w:sz w:val="18"/>
                <w:szCs w:val="18"/>
              </w:rPr>
              <w:t>有残缺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bl>
    <w:p>
      <w:pPr>
        <w:pStyle w:val="72"/>
        <w:bidi w:val="0"/>
        <w:rPr>
          <w:rFonts w:hint="eastAsia"/>
          <w:lang w:val="en-US" w:eastAsia="zh-CN"/>
        </w:rPr>
      </w:pPr>
      <w:r>
        <w:rPr>
          <w:rFonts w:hint="eastAsia"/>
          <w:lang w:val="en-US" w:eastAsia="zh-CN"/>
        </w:rPr>
        <w:t>生晒桓仁山参</w:t>
      </w:r>
    </w:p>
    <w:p>
      <w:pPr>
        <w:pStyle w:val="23"/>
        <w:rPr>
          <w:rFonts w:hint="eastAsia"/>
          <w:lang w:val="en-US" w:eastAsia="zh-CN"/>
        </w:rPr>
      </w:pPr>
      <w:r>
        <w:rPr>
          <w:rFonts w:hint="eastAsia"/>
          <w:lang w:val="en-US" w:eastAsia="zh-CN"/>
        </w:rPr>
        <w:t>生晒桓仁山参等级在性状上应满足表2对五形的要求，分为特等、一等、二等、三等四个等级。</w:t>
      </w:r>
    </w:p>
    <w:p>
      <w:pPr>
        <w:pStyle w:val="111"/>
        <w:bidi w:val="0"/>
        <w:rPr>
          <w:rFonts w:hint="eastAsia"/>
          <w:lang w:val="en-US" w:eastAsia="zh-CN"/>
        </w:rPr>
      </w:pPr>
      <w:r>
        <w:rPr>
          <w:rFonts w:hint="eastAsia"/>
          <w:lang w:val="en-US" w:eastAsia="zh-CN"/>
        </w:rPr>
        <w:t>生晒桓仁山参等级</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项  目</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特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一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二 等</w:t>
            </w:r>
          </w:p>
        </w:tc>
        <w:tc>
          <w:tcPr>
            <w:tcW w:w="1914" w:type="dxa"/>
            <w:tcBorders>
              <w:bottom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rPr>
              <w:t>三 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s="宋体"/>
                <w:color w:val="000000"/>
                <w:sz w:val="18"/>
                <w:szCs w:val="18"/>
              </w:rPr>
              <w:t>芦</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三节芦，芦碗紧密，芦较长，个别双芦或三芦以上</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二节芦或三节芦，芦碗较大、紧密，个别三芦以上</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二节芦、</w:t>
            </w:r>
            <w:r>
              <w:rPr>
                <w:rFonts w:hint="eastAsia" w:ascii="宋体" w:hAnsi="宋体" w:cs="宋体"/>
                <w:bCs/>
                <w:color w:val="000000"/>
                <w:kern w:val="0"/>
                <w:sz w:val="18"/>
                <w:szCs w:val="18"/>
              </w:rPr>
              <w:t>缩脖芦</w:t>
            </w:r>
            <w:r>
              <w:rPr>
                <w:rFonts w:hint="eastAsia" w:ascii="宋体" w:hAnsi="宋体" w:cs="宋体"/>
                <w:color w:val="000000"/>
                <w:kern w:val="0"/>
                <w:sz w:val="18"/>
                <w:szCs w:val="18"/>
              </w:rPr>
              <w:t>，芦碗较粗大，芦碗排列扭曲，有残缺、疤痕</w:t>
            </w:r>
          </w:p>
        </w:tc>
        <w:tc>
          <w:tcPr>
            <w:tcW w:w="1914" w:type="dxa"/>
            <w:tcBorders>
              <w:top w:val="single" w:color="auto" w:sz="8" w:space="0"/>
            </w:tcBorders>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断</w:t>
            </w:r>
            <w:r>
              <w:rPr>
                <w:rFonts w:hint="eastAsia" w:ascii="宋体" w:hAnsi="宋体"/>
                <w:color w:val="000000"/>
                <w:kern w:val="0"/>
                <w:sz w:val="18"/>
                <w:szCs w:val="18"/>
              </w:rPr>
              <w:t>芦，</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kern w:val="0"/>
                <w:sz w:val="18"/>
                <w:szCs w:val="18"/>
              </w:rPr>
              <w:t>艼</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枣核艼，艼重量不得超过主体50%，不抽沟，色正有光泽</w:t>
            </w:r>
          </w:p>
        </w:tc>
        <w:tc>
          <w:tcPr>
            <w:tcW w:w="1914" w:type="dxa"/>
            <w:vAlign w:val="center"/>
          </w:tcPr>
          <w:p>
            <w:pPr>
              <w:widowControl/>
              <w:adjustRightInd/>
              <w:spacing w:before="156" w:beforeLines="50" w:after="156" w:afterLines="50" w:line="240" w:lineRule="auto"/>
              <w:outlineLvl w:val="2"/>
              <w:rPr>
                <w:rFonts w:hint="eastAsia"/>
                <w:lang w:val="en-US" w:eastAsia="zh-CN"/>
              </w:rPr>
            </w:pPr>
            <w:r>
              <w:rPr>
                <w:rFonts w:hint="eastAsia" w:ascii="宋体" w:hAnsi="宋体" w:cs="宋体"/>
                <w:color w:val="000000"/>
                <w:kern w:val="0"/>
                <w:sz w:val="18"/>
                <w:szCs w:val="18"/>
              </w:rPr>
              <w:t>枣核艼、蒜瓣艼、毛毛艼或顺长艼，艼重量不得超过主体50%，不抽沟，色正有光泽</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艼大或无艼，有残缺、疤痕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断艼，有残缺、疤痕</w:t>
            </w:r>
            <w:r>
              <w:rPr>
                <w:rFonts w:hint="eastAsia" w:ascii="宋体" w:hAnsi="宋体" w:cs="宋体"/>
                <w:color w:val="000000"/>
                <w:kern w:val="0"/>
                <w:sz w:val="18"/>
                <w:szCs w:val="18"/>
                <w:lang w:eastAsia="zh-CN"/>
              </w:rPr>
              <w:t>；</w:t>
            </w:r>
            <w:r>
              <w:rPr>
                <w:rFonts w:hint="eastAsia" w:ascii="宋体" w:hAnsi="宋体" w:cs="宋体"/>
                <w:color w:val="00000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rPr>
              <w:t>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灵体、疙瘩体，色正有光泽，黄褐色或淡黄白色，腿分档自然，不抽沟，无疤痕，不泡体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顺体、过梁体，色正有光泽，黄褐色或淡黄白色，腿分档自然，不抽沟，不泡体</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顺体、笨体、横体，黄褐色或黄白色，皮较松，抽沟，体小、艼变、有疤痕</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断体，</w:t>
            </w:r>
            <w:r>
              <w:rPr>
                <w:rFonts w:hint="eastAsia" w:ascii="宋体" w:hAnsi="宋体" w:cs="宋体"/>
                <w:color w:val="000000"/>
                <w:kern w:val="0"/>
                <w:sz w:val="18"/>
                <w:szCs w:val="18"/>
              </w:rPr>
              <w:t>有残缺、疤痕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rPr>
              <w:t>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主体上部环纹细而深，紧皮细纹</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主体上部环纹明显</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主体上部的环纹不全，断纹或纹较少</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Times New Roman"/>
                <w:color w:val="000000"/>
                <w:kern w:val="0"/>
                <w:sz w:val="18"/>
                <w:szCs w:val="18"/>
              </w:rPr>
              <w:t>主体上部的环纹不全，断纹或纹较少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adjustRightInd/>
              <w:spacing w:line="240" w:lineRule="auto"/>
              <w:jc w:val="center"/>
              <w:rPr>
                <w:rFonts w:hint="eastAsia"/>
                <w:lang w:val="en-US" w:eastAsia="zh-CN"/>
              </w:rPr>
            </w:pPr>
            <w:r>
              <w:rPr>
                <w:rFonts w:hint="eastAsia" w:ascii="宋体" w:hAnsi="宋体" w:cs="宋体"/>
                <w:color w:val="000000"/>
                <w:sz w:val="18"/>
                <w:szCs w:val="18"/>
              </w:rPr>
              <w:t>须</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细而长，疏而不乱，柔韧不脆，有珍珠点，主须完整，艼须下伸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须细长，疏而不乱，柔韧不脆，主须完整，艼须下伸</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s="宋体"/>
                <w:color w:val="000000"/>
                <w:kern w:val="0"/>
                <w:sz w:val="18"/>
                <w:szCs w:val="18"/>
              </w:rPr>
              <w:t>须而长，柔韧不脆，有残缺</w:t>
            </w:r>
          </w:p>
        </w:tc>
        <w:tc>
          <w:tcPr>
            <w:tcW w:w="1914" w:type="dxa"/>
            <w:vAlign w:val="center"/>
          </w:tcPr>
          <w:p>
            <w:pPr>
              <w:widowControl/>
              <w:tabs>
                <w:tab w:val="center" w:pos="4201"/>
                <w:tab w:val="right" w:leader="dot" w:pos="9298"/>
              </w:tabs>
              <w:autoSpaceDE w:val="0"/>
              <w:autoSpaceDN w:val="0"/>
              <w:adjustRightInd/>
              <w:spacing w:line="240" w:lineRule="auto"/>
              <w:rPr>
                <w:rFonts w:hint="eastAsia"/>
                <w:lang w:val="en-US" w:eastAsia="zh-CN"/>
              </w:rPr>
            </w:pPr>
            <w:r>
              <w:rPr>
                <w:rFonts w:hint="eastAsia" w:ascii="宋体" w:hAnsi="宋体"/>
                <w:color w:val="000000"/>
                <w:kern w:val="0"/>
                <w:sz w:val="18"/>
                <w:szCs w:val="18"/>
              </w:rPr>
              <w:t>断须，</w:t>
            </w:r>
            <w:r>
              <w:rPr>
                <w:rFonts w:hint="eastAsia" w:ascii="宋体" w:hAnsi="宋体" w:cs="宋体"/>
                <w:color w:val="000000"/>
                <w:kern w:val="0"/>
                <w:sz w:val="18"/>
                <w:szCs w:val="18"/>
              </w:rPr>
              <w:t>有残缺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水锈</w:t>
            </w:r>
          </w:p>
        </w:tc>
      </w:tr>
    </w:tbl>
    <w:p>
      <w:pPr>
        <w:pStyle w:val="71"/>
        <w:bidi w:val="0"/>
        <w:rPr>
          <w:rFonts w:hint="eastAsia"/>
          <w:lang w:val="en-US" w:eastAsia="zh-CN"/>
        </w:rPr>
      </w:pPr>
      <w:r>
        <w:rPr>
          <w:rFonts w:hint="eastAsia"/>
          <w:lang w:val="en-US" w:eastAsia="zh-CN"/>
        </w:rPr>
        <w:t>规格要求</w:t>
      </w:r>
    </w:p>
    <w:p>
      <w:pPr>
        <w:pStyle w:val="72"/>
        <w:bidi w:val="0"/>
        <w:rPr>
          <w:rFonts w:hint="eastAsia"/>
          <w:lang w:val="en-US" w:eastAsia="zh-CN"/>
        </w:rPr>
      </w:pPr>
      <w:r>
        <w:rPr>
          <w:rFonts w:hint="eastAsia"/>
          <w:lang w:val="en-US" w:eastAsia="zh-CN"/>
        </w:rPr>
        <w:t>鲜桓仁山参</w:t>
      </w:r>
    </w:p>
    <w:p>
      <w:pPr>
        <w:pStyle w:val="23"/>
        <w:rPr>
          <w:rFonts w:hint="eastAsia"/>
          <w:lang w:val="en-US" w:eastAsia="zh-CN"/>
        </w:rPr>
      </w:pPr>
      <w:r>
        <w:rPr>
          <w:rFonts w:hint="eastAsia"/>
          <w:lang w:val="en-US" w:eastAsia="zh-CN"/>
        </w:rPr>
        <w:t>规格应满足表3的要求。</w:t>
      </w:r>
    </w:p>
    <w:p>
      <w:pPr>
        <w:pStyle w:val="111"/>
        <w:bidi w:val="0"/>
        <w:rPr>
          <w:rFonts w:hint="eastAsia"/>
          <w:lang w:val="en-US" w:eastAsia="zh-CN"/>
        </w:rPr>
      </w:pPr>
      <w:r>
        <w:rPr>
          <w:rFonts w:hint="eastAsia"/>
          <w:lang w:val="en-US" w:eastAsia="zh-CN"/>
        </w:rPr>
        <w:t>鲜桓仁山参规格</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级  别</w:t>
            </w:r>
          </w:p>
        </w:tc>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重  量</w:t>
            </w:r>
            <w:r>
              <w:rPr>
                <w:rFonts w:hint="eastAsia" w:ascii="黑体" w:hAnsi="黑体" w:eastAsia="黑体"/>
                <w:sz w:val="18"/>
                <w:szCs w:val="18"/>
                <w:lang w:eastAsia="zh-CN"/>
              </w:rPr>
              <w:t>（</w:t>
            </w:r>
            <w:r>
              <w:rPr>
                <w:rFonts w:hint="eastAsia" w:ascii="黑体" w:hAnsi="黑体" w:eastAsia="黑体"/>
                <w:sz w:val="18"/>
                <w:szCs w:val="18"/>
                <w:lang w:val="en-US" w:eastAsia="zh-CN"/>
              </w:rPr>
              <w:t>g</w:t>
            </w:r>
            <w:r>
              <w:rPr>
                <w:rFonts w:hint="eastAsia" w:ascii="黑体" w:hAnsi="黑体" w:eastAsia="黑体"/>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sz w:val="18"/>
                <w:szCs w:val="18"/>
              </w:rPr>
              <w:t>特级</w:t>
            </w:r>
          </w:p>
        </w:tc>
        <w:tc>
          <w:tcPr>
            <w:tcW w:w="4785"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sz w:val="18"/>
                <w:szCs w:val="18"/>
                <w:lang w:val="en-US" w:eastAsia="zh-CN"/>
              </w:rPr>
              <w:t>m</w:t>
            </w:r>
            <w:r>
              <w:rPr>
                <w:rFonts w:hint="eastAsia"/>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一级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80＞</w:t>
            </w:r>
            <w:r>
              <w:rPr>
                <w:rFonts w:hint="eastAsia"/>
                <w:sz w:val="18"/>
                <w:szCs w:val="18"/>
                <w:lang w:eastAsia="zh-CN"/>
              </w:rPr>
              <w:t>m</w:t>
            </w:r>
            <w:r>
              <w:rPr>
                <w:rFonts w:hint="eastAsia"/>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二级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60＞</w:t>
            </w:r>
            <w:r>
              <w:rPr>
                <w:rFonts w:hint="eastAsia"/>
                <w:sz w:val="18"/>
                <w:szCs w:val="18"/>
                <w:lang w:eastAsia="zh-CN"/>
              </w:rPr>
              <w:t>m</w:t>
            </w:r>
            <w:r>
              <w:rPr>
                <w:rFonts w:hint="eastAsia"/>
                <w:sz w:val="18"/>
                <w:szCs w:val="18"/>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三级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45＞</w:t>
            </w:r>
            <w:r>
              <w:rPr>
                <w:rFonts w:hint="eastAsia"/>
                <w:sz w:val="18"/>
                <w:szCs w:val="18"/>
                <w:lang w:eastAsia="zh-CN"/>
              </w:rPr>
              <w:t>m</w:t>
            </w:r>
            <w:r>
              <w:rPr>
                <w:rFonts w:hint="eastAsia"/>
                <w:sz w:val="18"/>
                <w:szCs w:val="18"/>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四级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35＞</w:t>
            </w:r>
            <w:r>
              <w:rPr>
                <w:rFonts w:hint="eastAsia"/>
                <w:sz w:val="18"/>
                <w:szCs w:val="18"/>
                <w:lang w:eastAsia="zh-CN"/>
              </w:rPr>
              <w:t>m</w:t>
            </w:r>
            <w:r>
              <w:rPr>
                <w:rFonts w:hint="eastAsia"/>
                <w:sz w:val="18"/>
                <w:szCs w:val="18"/>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五级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18＞</w:t>
            </w:r>
            <w:r>
              <w:rPr>
                <w:rFonts w:hint="eastAsia"/>
                <w:sz w:val="18"/>
                <w:szCs w:val="18"/>
                <w:lang w:eastAsia="zh-CN"/>
              </w:rPr>
              <w:t>m</w:t>
            </w:r>
            <w:r>
              <w:rPr>
                <w:rFonts w:hint="eastAsia"/>
                <w:sz w:val="18"/>
                <w:szCs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六级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rPr>
              <w:t>12＞</w:t>
            </w:r>
            <w:r>
              <w:rPr>
                <w:rFonts w:hint="eastAsia"/>
                <w:sz w:val="18"/>
                <w:szCs w:val="18"/>
                <w:lang w:eastAsia="zh-CN"/>
              </w:rPr>
              <w:t>m</w:t>
            </w:r>
            <w:r>
              <w:rPr>
                <w:rFonts w:hint="eastAsia"/>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七级</w:t>
            </w:r>
          </w:p>
        </w:tc>
        <w:tc>
          <w:tcPr>
            <w:tcW w:w="4785" w:type="dxa"/>
            <w:vAlign w:val="top"/>
          </w:tcPr>
          <w:p>
            <w:pPr>
              <w:pStyle w:val="119"/>
              <w:widowControl w:val="0"/>
              <w:ind w:firstLine="0" w:firstLineChars="0"/>
              <w:jc w:val="center"/>
              <w:rPr>
                <w:rFonts w:hint="eastAsia"/>
                <w:lang w:val="en-US" w:eastAsia="zh-CN"/>
              </w:rPr>
            </w:pPr>
            <w:r>
              <w:rPr>
                <w:rFonts w:hint="eastAsia"/>
                <w:sz w:val="18"/>
                <w:szCs w:val="18"/>
                <w:lang w:eastAsia="zh-CN"/>
              </w:rPr>
              <w:t>m</w:t>
            </w:r>
            <w:r>
              <w:rPr>
                <w:rFonts w:hint="eastAsia"/>
                <w:sz w:val="18"/>
                <w:szCs w:val="18"/>
              </w:rPr>
              <w:t>＜5</w:t>
            </w:r>
          </w:p>
        </w:tc>
      </w:tr>
    </w:tbl>
    <w:p>
      <w:pPr>
        <w:pStyle w:val="72"/>
        <w:bidi w:val="0"/>
        <w:rPr>
          <w:rFonts w:hint="eastAsia"/>
          <w:lang w:val="en-US" w:eastAsia="zh-CN"/>
        </w:rPr>
      </w:pPr>
      <w:r>
        <w:rPr>
          <w:rFonts w:hint="eastAsia"/>
          <w:lang w:val="en-US" w:eastAsia="zh-CN"/>
        </w:rPr>
        <w:t>生晒桓仁山参</w:t>
      </w:r>
    </w:p>
    <w:p>
      <w:pPr>
        <w:pStyle w:val="23"/>
        <w:rPr>
          <w:rFonts w:hint="eastAsia"/>
          <w:lang w:val="en-US" w:eastAsia="zh-CN"/>
        </w:rPr>
      </w:pPr>
      <w:r>
        <w:rPr>
          <w:rFonts w:hint="eastAsia"/>
          <w:lang w:val="en-US" w:eastAsia="zh-CN"/>
        </w:rPr>
        <w:t>规格应满足表4的要求。</w:t>
      </w:r>
    </w:p>
    <w:p>
      <w:pPr>
        <w:pStyle w:val="111"/>
        <w:bidi w:val="0"/>
        <w:rPr>
          <w:rFonts w:hint="eastAsia"/>
          <w:lang w:val="en-US" w:eastAsia="zh-CN"/>
        </w:rPr>
      </w:pPr>
      <w:r>
        <w:rPr>
          <w:rFonts w:hint="eastAsia"/>
          <w:lang w:val="en-US" w:eastAsia="zh-CN"/>
        </w:rPr>
        <w:t>生晒桓仁山参规格</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级  别</w:t>
            </w:r>
          </w:p>
        </w:tc>
        <w:tc>
          <w:tcPr>
            <w:tcW w:w="4785"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重  量</w:t>
            </w:r>
            <w:r>
              <w:rPr>
                <w:rFonts w:hint="eastAsia" w:ascii="黑体" w:hAnsi="黑体" w:eastAsia="黑体"/>
                <w:sz w:val="18"/>
                <w:szCs w:val="18"/>
                <w:lang w:eastAsia="zh-CN"/>
              </w:rPr>
              <w:t>（</w:t>
            </w:r>
            <w:r>
              <w:rPr>
                <w:rFonts w:hint="eastAsia" w:ascii="黑体" w:hAnsi="黑体" w:eastAsia="黑体"/>
                <w:sz w:val="18"/>
                <w:szCs w:val="18"/>
                <w:lang w:val="en-US" w:eastAsia="zh-CN"/>
              </w:rPr>
              <w:t>g</w:t>
            </w:r>
            <w:r>
              <w:rPr>
                <w:rFonts w:hint="eastAsia" w:ascii="黑体" w:hAnsi="黑体" w:eastAsia="黑体"/>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8" w:space="0"/>
            </w:tcBorders>
            <w:vAlign w:val="top"/>
          </w:tcPr>
          <w:p>
            <w:pPr>
              <w:pStyle w:val="119"/>
              <w:widowControl w:val="0"/>
              <w:ind w:firstLine="0" w:firstLineChars="0"/>
              <w:jc w:val="center"/>
              <w:rPr>
                <w:rFonts w:hint="eastAsia"/>
                <w:lang w:val="en-US" w:eastAsia="zh-CN"/>
              </w:rPr>
            </w:pPr>
            <w:r>
              <w:rPr>
                <w:rFonts w:hint="eastAsia"/>
                <w:sz w:val="18"/>
                <w:szCs w:val="18"/>
              </w:rPr>
              <w:t>特级</w:t>
            </w:r>
          </w:p>
        </w:tc>
        <w:tc>
          <w:tcPr>
            <w:tcW w:w="4785" w:type="dxa"/>
            <w:tcBorders>
              <w:top w:val="single" w:color="auto" w:sz="8" w:space="0"/>
            </w:tcBorders>
            <w:vAlign w:val="top"/>
          </w:tcPr>
          <w:p>
            <w:pPr>
              <w:pStyle w:val="119"/>
              <w:widowControl w:val="0"/>
              <w:ind w:firstLine="0" w:firstLineChars="0"/>
              <w:jc w:val="center"/>
              <w:rPr>
                <w:rFonts w:hint="default" w:eastAsia="宋体"/>
                <w:lang w:val="en-US" w:eastAsia="zh-CN"/>
              </w:rPr>
            </w:pPr>
            <w:r>
              <w:rPr>
                <w:rFonts w:hint="eastAsia"/>
                <w:sz w:val="18"/>
                <w:szCs w:val="18"/>
                <w:lang w:eastAsia="zh-CN"/>
              </w:rPr>
              <w:t>m</w:t>
            </w:r>
            <w:r>
              <w:rPr>
                <w:rFonts w:hint="eastAsia"/>
                <w:sz w:val="18"/>
                <w:szCs w:val="18"/>
              </w:rPr>
              <w:t>≥</w:t>
            </w:r>
            <w:r>
              <w:rPr>
                <w:rFonts w:hint="eastAsia"/>
                <w:sz w:val="18"/>
                <w:szCs w:val="18"/>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一级</w:t>
            </w:r>
          </w:p>
        </w:tc>
        <w:tc>
          <w:tcPr>
            <w:tcW w:w="4785" w:type="dxa"/>
            <w:vAlign w:val="top"/>
          </w:tcPr>
          <w:p>
            <w:pPr>
              <w:pStyle w:val="119"/>
              <w:widowControl w:val="0"/>
              <w:ind w:firstLine="0" w:firstLineChars="0"/>
              <w:jc w:val="center"/>
              <w:rPr>
                <w:rFonts w:hint="eastAsia" w:eastAsia="宋体"/>
                <w:lang w:val="en-US" w:eastAsia="zh-CN"/>
              </w:rPr>
            </w:pPr>
            <w:r>
              <w:rPr>
                <w:rFonts w:hint="eastAsia"/>
                <w:sz w:val="18"/>
                <w:szCs w:val="18"/>
                <w:lang w:val="en-US" w:eastAsia="zh-CN"/>
              </w:rPr>
              <w:t>20</w:t>
            </w:r>
            <w:r>
              <w:rPr>
                <w:rFonts w:hint="eastAsia"/>
                <w:sz w:val="18"/>
                <w:szCs w:val="18"/>
              </w:rPr>
              <w:t>＞</w:t>
            </w:r>
            <w:r>
              <w:rPr>
                <w:rFonts w:hint="eastAsia"/>
                <w:sz w:val="18"/>
                <w:szCs w:val="18"/>
                <w:lang w:eastAsia="zh-CN"/>
              </w:rPr>
              <w:t>m</w:t>
            </w:r>
            <w:r>
              <w:rPr>
                <w:rFonts w:hint="eastAsia"/>
                <w:sz w:val="18"/>
                <w:szCs w:val="18"/>
              </w:rPr>
              <w:t>≥1</w:t>
            </w:r>
            <w:r>
              <w:rPr>
                <w:rFonts w:hint="eastAsia"/>
                <w:sz w:val="18"/>
                <w:szCs w:val="1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二级</w:t>
            </w:r>
          </w:p>
        </w:tc>
        <w:tc>
          <w:tcPr>
            <w:tcW w:w="4785" w:type="dxa"/>
            <w:vAlign w:val="top"/>
          </w:tcPr>
          <w:p>
            <w:pPr>
              <w:pStyle w:val="119"/>
              <w:widowControl w:val="0"/>
              <w:ind w:firstLine="0" w:firstLineChars="0"/>
              <w:jc w:val="center"/>
              <w:rPr>
                <w:rFonts w:hint="default" w:eastAsia="宋体"/>
                <w:lang w:val="en-US" w:eastAsia="zh-CN"/>
              </w:rPr>
            </w:pPr>
            <w:r>
              <w:rPr>
                <w:rFonts w:hint="eastAsia"/>
                <w:sz w:val="18"/>
                <w:szCs w:val="18"/>
              </w:rPr>
              <w:t>1</w:t>
            </w:r>
            <w:r>
              <w:rPr>
                <w:rFonts w:hint="eastAsia"/>
                <w:sz w:val="18"/>
                <w:szCs w:val="18"/>
                <w:lang w:val="en-US" w:eastAsia="zh-CN"/>
              </w:rPr>
              <w:t>5</w:t>
            </w:r>
            <w:r>
              <w:rPr>
                <w:rFonts w:hint="eastAsia"/>
                <w:sz w:val="18"/>
                <w:szCs w:val="18"/>
              </w:rPr>
              <w:t>＞</w:t>
            </w:r>
            <w:r>
              <w:rPr>
                <w:rFonts w:hint="eastAsia"/>
                <w:sz w:val="18"/>
                <w:szCs w:val="18"/>
                <w:lang w:eastAsia="zh-CN"/>
              </w:rPr>
              <w:t>m</w:t>
            </w:r>
            <w:r>
              <w:rPr>
                <w:rFonts w:hint="eastAsia"/>
                <w:sz w:val="18"/>
                <w:szCs w:val="18"/>
              </w:rPr>
              <w:t>≥</w:t>
            </w:r>
            <w:r>
              <w:rPr>
                <w:rFonts w:hint="eastAsia"/>
                <w:sz w:val="18"/>
                <w:szCs w:val="18"/>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三级</w:t>
            </w:r>
          </w:p>
        </w:tc>
        <w:tc>
          <w:tcPr>
            <w:tcW w:w="4785" w:type="dxa"/>
            <w:vAlign w:val="top"/>
          </w:tcPr>
          <w:p>
            <w:pPr>
              <w:pStyle w:val="119"/>
              <w:widowControl w:val="0"/>
              <w:ind w:firstLine="0" w:firstLineChars="0"/>
              <w:jc w:val="center"/>
              <w:rPr>
                <w:rFonts w:hint="eastAsia" w:eastAsia="宋体"/>
                <w:lang w:val="en-US" w:eastAsia="zh-CN"/>
              </w:rPr>
            </w:pPr>
            <w:r>
              <w:rPr>
                <w:rFonts w:hint="eastAsia"/>
                <w:sz w:val="18"/>
                <w:szCs w:val="18"/>
                <w:lang w:val="en-US" w:eastAsia="zh-CN"/>
              </w:rPr>
              <w:t>12</w:t>
            </w:r>
            <w:r>
              <w:rPr>
                <w:rFonts w:hint="eastAsia"/>
                <w:sz w:val="18"/>
                <w:szCs w:val="18"/>
              </w:rPr>
              <w:t>＞</w:t>
            </w:r>
            <w:r>
              <w:rPr>
                <w:rFonts w:hint="eastAsia"/>
                <w:sz w:val="18"/>
                <w:szCs w:val="18"/>
                <w:lang w:eastAsia="zh-CN"/>
              </w:rPr>
              <w:t>m</w:t>
            </w:r>
            <w:r>
              <w:rPr>
                <w:rFonts w:hint="eastAsia"/>
                <w:sz w:val="18"/>
                <w:szCs w:val="18"/>
              </w:rPr>
              <w:t>≥</w:t>
            </w:r>
            <w:r>
              <w:rPr>
                <w:rFonts w:hint="eastAsia"/>
                <w:sz w:val="18"/>
                <w:szCs w:val="18"/>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四级</w:t>
            </w:r>
          </w:p>
        </w:tc>
        <w:tc>
          <w:tcPr>
            <w:tcW w:w="4785" w:type="dxa"/>
            <w:vAlign w:val="top"/>
          </w:tcPr>
          <w:p>
            <w:pPr>
              <w:pStyle w:val="119"/>
              <w:widowControl w:val="0"/>
              <w:ind w:firstLine="0" w:firstLineChars="0"/>
              <w:jc w:val="center"/>
              <w:rPr>
                <w:rFonts w:hint="eastAsia" w:eastAsia="宋体"/>
                <w:lang w:val="en-US" w:eastAsia="zh-CN"/>
              </w:rPr>
            </w:pPr>
            <w:r>
              <w:rPr>
                <w:rFonts w:hint="eastAsia"/>
                <w:sz w:val="18"/>
                <w:szCs w:val="18"/>
                <w:lang w:val="en-US" w:eastAsia="zh-CN"/>
              </w:rPr>
              <w:t>9</w:t>
            </w:r>
            <w:r>
              <w:rPr>
                <w:rFonts w:hint="eastAsia"/>
                <w:sz w:val="18"/>
                <w:szCs w:val="18"/>
              </w:rPr>
              <w:t>＞</w:t>
            </w:r>
            <w:r>
              <w:rPr>
                <w:rFonts w:hint="eastAsia"/>
                <w:sz w:val="18"/>
                <w:szCs w:val="18"/>
                <w:lang w:eastAsia="zh-CN"/>
              </w:rPr>
              <w:t>m</w:t>
            </w:r>
            <w:r>
              <w:rPr>
                <w:rFonts w:hint="eastAsia"/>
                <w:sz w:val="18"/>
                <w:szCs w:val="18"/>
              </w:rPr>
              <w:t>≥</w:t>
            </w:r>
            <w:r>
              <w:rPr>
                <w:rFonts w:hint="eastAsia"/>
                <w:sz w:val="18"/>
                <w:szCs w:val="1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五级</w:t>
            </w:r>
          </w:p>
        </w:tc>
        <w:tc>
          <w:tcPr>
            <w:tcW w:w="4785" w:type="dxa"/>
            <w:vAlign w:val="top"/>
          </w:tcPr>
          <w:p>
            <w:pPr>
              <w:pStyle w:val="119"/>
              <w:widowControl w:val="0"/>
              <w:ind w:firstLine="0" w:firstLineChars="0"/>
              <w:jc w:val="center"/>
              <w:rPr>
                <w:rFonts w:hint="eastAsia" w:eastAsia="宋体"/>
                <w:lang w:val="en-US" w:eastAsia="zh-CN"/>
              </w:rPr>
            </w:pPr>
            <w:r>
              <w:rPr>
                <w:rFonts w:hint="eastAsia"/>
                <w:sz w:val="18"/>
                <w:szCs w:val="18"/>
                <w:lang w:val="en-US" w:eastAsia="zh-CN"/>
              </w:rPr>
              <w:t>5</w:t>
            </w:r>
            <w:r>
              <w:rPr>
                <w:rFonts w:hint="eastAsia"/>
                <w:sz w:val="18"/>
                <w:szCs w:val="18"/>
              </w:rPr>
              <w:t>＞</w:t>
            </w:r>
            <w:r>
              <w:rPr>
                <w:rFonts w:hint="eastAsia"/>
                <w:sz w:val="18"/>
                <w:szCs w:val="18"/>
                <w:lang w:eastAsia="zh-CN"/>
              </w:rPr>
              <w:t>m</w:t>
            </w:r>
            <w:r>
              <w:rPr>
                <w:rFonts w:hint="eastAsia"/>
                <w:sz w:val="18"/>
                <w:szCs w:val="18"/>
              </w:rPr>
              <w:t>≥</w:t>
            </w:r>
            <w:r>
              <w:rPr>
                <w:rFonts w:hint="eastAsia"/>
                <w:sz w:val="18"/>
                <w:szCs w:val="18"/>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六级</w:t>
            </w:r>
          </w:p>
        </w:tc>
        <w:tc>
          <w:tcPr>
            <w:tcW w:w="4785" w:type="dxa"/>
            <w:vAlign w:val="top"/>
          </w:tcPr>
          <w:p>
            <w:pPr>
              <w:pStyle w:val="119"/>
              <w:widowControl w:val="0"/>
              <w:ind w:firstLine="0" w:firstLineChars="0"/>
              <w:jc w:val="center"/>
              <w:rPr>
                <w:rFonts w:hint="default" w:eastAsia="宋体"/>
                <w:lang w:val="en-US" w:eastAsia="zh-CN"/>
              </w:rPr>
            </w:pPr>
            <w:r>
              <w:rPr>
                <w:rFonts w:hint="eastAsia"/>
                <w:sz w:val="18"/>
                <w:szCs w:val="18"/>
                <w:lang w:val="en-US" w:eastAsia="zh-CN"/>
              </w:rPr>
              <w:t>3</w:t>
            </w:r>
            <w:r>
              <w:rPr>
                <w:rFonts w:hint="eastAsia"/>
                <w:sz w:val="18"/>
                <w:szCs w:val="18"/>
              </w:rPr>
              <w:t>＞</w:t>
            </w:r>
            <w:r>
              <w:rPr>
                <w:rFonts w:hint="eastAsia"/>
                <w:sz w:val="18"/>
                <w:szCs w:val="18"/>
                <w:lang w:eastAsia="zh-CN"/>
              </w:rPr>
              <w:t>m</w:t>
            </w:r>
            <w:r>
              <w:rPr>
                <w:rFonts w:hint="eastAsia"/>
                <w:sz w:val="18"/>
                <w:szCs w:val="18"/>
              </w:rPr>
              <w:t>≥</w:t>
            </w:r>
            <w:r>
              <w:rPr>
                <w:rFonts w:hint="eastAsia"/>
                <w:sz w:val="18"/>
                <w:szCs w:val="18"/>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vAlign w:val="top"/>
          </w:tcPr>
          <w:p>
            <w:pPr>
              <w:pStyle w:val="119"/>
              <w:widowControl w:val="0"/>
              <w:ind w:firstLine="0" w:firstLineChars="0"/>
              <w:jc w:val="center"/>
              <w:rPr>
                <w:rFonts w:hint="eastAsia"/>
                <w:lang w:val="en-US" w:eastAsia="zh-CN"/>
              </w:rPr>
            </w:pPr>
            <w:r>
              <w:rPr>
                <w:rFonts w:hint="eastAsia"/>
                <w:sz w:val="18"/>
                <w:szCs w:val="18"/>
              </w:rPr>
              <w:t>七级</w:t>
            </w:r>
          </w:p>
        </w:tc>
        <w:tc>
          <w:tcPr>
            <w:tcW w:w="4785" w:type="dxa"/>
            <w:vAlign w:val="top"/>
          </w:tcPr>
          <w:p>
            <w:pPr>
              <w:pStyle w:val="119"/>
              <w:widowControl w:val="0"/>
              <w:ind w:firstLine="0" w:firstLineChars="0"/>
              <w:jc w:val="center"/>
              <w:rPr>
                <w:rFonts w:hint="default" w:eastAsia="宋体"/>
                <w:lang w:val="en-US" w:eastAsia="zh-CN"/>
              </w:rPr>
            </w:pPr>
            <w:r>
              <w:rPr>
                <w:rFonts w:hint="eastAsia"/>
                <w:sz w:val="18"/>
                <w:szCs w:val="18"/>
                <w:lang w:eastAsia="zh-CN"/>
              </w:rPr>
              <w:t>m</w:t>
            </w:r>
            <w:r>
              <w:rPr>
                <w:rFonts w:hint="eastAsia"/>
                <w:sz w:val="18"/>
                <w:szCs w:val="18"/>
              </w:rPr>
              <w:t>＜</w:t>
            </w:r>
            <w:r>
              <w:rPr>
                <w:rFonts w:hint="eastAsia"/>
                <w:sz w:val="18"/>
                <w:szCs w:val="18"/>
                <w:lang w:val="en-US" w:eastAsia="zh-CN"/>
              </w:rPr>
              <w:t>1.3</w:t>
            </w:r>
          </w:p>
        </w:tc>
      </w:tr>
    </w:tbl>
    <w:p>
      <w:pPr>
        <w:pStyle w:val="71"/>
        <w:bidi w:val="0"/>
        <w:rPr>
          <w:rFonts w:hint="eastAsia"/>
          <w:lang w:val="en-US" w:eastAsia="zh-CN"/>
        </w:rPr>
      </w:pPr>
      <w:r>
        <w:rPr>
          <w:rFonts w:hint="eastAsia"/>
          <w:lang w:val="en-US" w:eastAsia="zh-CN"/>
        </w:rPr>
        <w:t>理化指标</w:t>
      </w:r>
    </w:p>
    <w:p>
      <w:pPr>
        <w:pStyle w:val="23"/>
        <w:rPr>
          <w:rFonts w:hint="eastAsia"/>
          <w:lang w:val="en-US" w:eastAsia="zh-CN"/>
        </w:rPr>
      </w:pPr>
      <w:r>
        <w:rPr>
          <w:rFonts w:hint="eastAsia"/>
          <w:lang w:val="en-US" w:eastAsia="zh-CN"/>
        </w:rPr>
        <w:t>桓仁山参、桓仁山参粉、桓仁山参片理化指标应满足表5的要求。</w:t>
      </w:r>
    </w:p>
    <w:p>
      <w:pPr>
        <w:pStyle w:val="111"/>
        <w:bidi w:val="0"/>
        <w:rPr>
          <w:rFonts w:hint="eastAsia"/>
          <w:lang w:val="en-US" w:eastAsia="zh-CN"/>
        </w:rPr>
      </w:pPr>
      <w:r>
        <w:rPr>
          <w:rFonts w:hint="eastAsia"/>
          <w:lang w:val="en-US" w:eastAsia="zh-CN"/>
        </w:rPr>
        <w:t>桓仁山参、桓仁山参粉、桓仁山参片理化指标</w:t>
      </w:r>
    </w:p>
    <w:tbl>
      <w:tblPr>
        <w:tblStyle w:val="20"/>
        <w:tblW w:w="374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7"/>
        <w:gridCol w:w="2389"/>
        <w:gridCol w:w="23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77" w:type="dxa"/>
            <w:gridSpan w:val="2"/>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sz w:val="18"/>
                <w:szCs w:val="18"/>
              </w:rPr>
              <w:t>项  目</w:t>
            </w:r>
          </w:p>
        </w:tc>
        <w:tc>
          <w:tcPr>
            <w:tcW w:w="2392" w:type="dxa"/>
            <w:tcBorders>
              <w:bottom w:val="single" w:color="auto" w:sz="8" w:space="0"/>
            </w:tcBorders>
            <w:vAlign w:val="top"/>
          </w:tcPr>
          <w:p>
            <w:pPr>
              <w:pStyle w:val="119"/>
              <w:widowControl w:val="0"/>
              <w:ind w:firstLine="0" w:firstLineChars="0"/>
              <w:jc w:val="center"/>
              <w:rPr>
                <w:rFonts w:hint="eastAsia"/>
                <w:lang w:val="en-US" w:eastAsia="zh-CN"/>
              </w:rPr>
            </w:pPr>
            <w:r>
              <w:rPr>
                <w:rFonts w:hint="eastAsia" w:ascii="黑体" w:hAnsi="黑体" w:eastAsia="黑体"/>
                <w:color w:val="auto"/>
                <w:sz w:val="18"/>
                <w:szCs w:val="18"/>
                <w:lang w:eastAsia="zh-CN"/>
              </w:rPr>
              <w:t>指</w:t>
            </w:r>
            <w:r>
              <w:rPr>
                <w:rFonts w:hint="eastAsia" w:ascii="黑体" w:hAnsi="黑体" w:eastAsia="黑体"/>
                <w:color w:val="auto"/>
                <w:sz w:val="18"/>
                <w:szCs w:val="18"/>
                <w:lang w:val="en-US" w:eastAsia="zh-CN"/>
              </w:rPr>
              <w:t xml:space="preserve">   </w:t>
            </w:r>
            <w:r>
              <w:rPr>
                <w:rFonts w:hint="eastAsia" w:ascii="黑体" w:hAnsi="黑体" w:eastAsia="黑体"/>
                <w:color w:val="auto"/>
                <w:sz w:val="18"/>
                <w:szCs w:val="18"/>
                <w:lang w:eastAsia="zh-CN"/>
              </w:rPr>
              <w:t>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77" w:type="dxa"/>
            <w:gridSpan w:val="2"/>
            <w:tcBorders>
              <w:top w:val="single" w:color="auto" w:sz="8" w:space="0"/>
            </w:tcBorders>
            <w:vAlign w:val="top"/>
          </w:tcPr>
          <w:p>
            <w:pPr>
              <w:pStyle w:val="119"/>
              <w:widowControl w:val="0"/>
              <w:ind w:firstLine="0" w:firstLineChars="0"/>
              <w:rPr>
                <w:rFonts w:hint="eastAsia"/>
                <w:lang w:val="en-US" w:eastAsia="zh-CN"/>
              </w:rPr>
            </w:pPr>
            <w:r>
              <w:rPr>
                <w:rFonts w:hint="eastAsia"/>
                <w:sz w:val="18"/>
                <w:szCs w:val="18"/>
              </w:rPr>
              <w:t>干品水分（%）</w:t>
            </w:r>
          </w:p>
        </w:tc>
        <w:tc>
          <w:tcPr>
            <w:tcW w:w="2392" w:type="dxa"/>
            <w:tcBorders>
              <w:top w:val="single" w:color="auto" w:sz="8" w:space="0"/>
            </w:tcBorders>
            <w:vAlign w:val="top"/>
          </w:tcPr>
          <w:p>
            <w:pPr>
              <w:pStyle w:val="119"/>
              <w:widowControl w:val="0"/>
              <w:ind w:firstLine="0" w:firstLineChars="0"/>
              <w:rPr>
                <w:rFonts w:hint="eastAsia"/>
                <w:lang w:val="en-US" w:eastAsia="zh-CN"/>
              </w:rPr>
            </w:pPr>
            <w:r>
              <w:rPr>
                <w:rFonts w:hint="eastAsia"/>
                <w:color w:val="auto"/>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vMerge w:val="restart"/>
            <w:vAlign w:val="top"/>
          </w:tcPr>
          <w:p>
            <w:pPr>
              <w:pStyle w:val="119"/>
              <w:widowControl w:val="0"/>
              <w:ind w:firstLine="0" w:firstLineChars="0"/>
              <w:rPr>
                <w:rFonts w:hint="eastAsia"/>
                <w:lang w:val="en-US" w:eastAsia="zh-CN"/>
              </w:rPr>
            </w:pPr>
            <w:r>
              <w:rPr>
                <w:rFonts w:hint="eastAsia"/>
                <w:sz w:val="18"/>
                <w:szCs w:val="18"/>
              </w:rPr>
              <w:t>灰分（%）</w:t>
            </w:r>
          </w:p>
        </w:tc>
        <w:tc>
          <w:tcPr>
            <w:tcW w:w="2389" w:type="dxa"/>
            <w:vAlign w:val="top"/>
          </w:tcPr>
          <w:p>
            <w:pPr>
              <w:pStyle w:val="119"/>
              <w:widowControl w:val="0"/>
              <w:ind w:firstLine="0" w:firstLineChars="0"/>
              <w:rPr>
                <w:rFonts w:hint="eastAsia"/>
                <w:lang w:val="en-US" w:eastAsia="zh-CN"/>
              </w:rPr>
            </w:pPr>
            <w:r>
              <w:rPr>
                <w:rFonts w:hint="eastAsia"/>
                <w:sz w:val="18"/>
                <w:szCs w:val="18"/>
              </w:rPr>
              <w:t>总灰分</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vMerge w:val="continue"/>
            <w:vAlign w:val="top"/>
          </w:tcPr>
          <w:p>
            <w:pPr>
              <w:pStyle w:val="119"/>
              <w:widowControl w:val="0"/>
              <w:ind w:firstLine="0" w:firstLineChars="0"/>
              <w:rPr>
                <w:rFonts w:hint="eastAsia"/>
                <w:lang w:val="en-US" w:eastAsia="zh-CN"/>
              </w:rPr>
            </w:pPr>
          </w:p>
        </w:tc>
        <w:tc>
          <w:tcPr>
            <w:tcW w:w="2389" w:type="dxa"/>
            <w:vAlign w:val="top"/>
          </w:tcPr>
          <w:p>
            <w:pPr>
              <w:pStyle w:val="119"/>
              <w:widowControl w:val="0"/>
              <w:ind w:firstLine="0" w:firstLineChars="0"/>
              <w:rPr>
                <w:rFonts w:hint="eastAsia"/>
                <w:lang w:val="en-US" w:eastAsia="zh-CN"/>
              </w:rPr>
            </w:pPr>
            <w:r>
              <w:rPr>
                <w:rFonts w:hint="eastAsia"/>
                <w:sz w:val="18"/>
                <w:szCs w:val="18"/>
              </w:rPr>
              <w:t>酸不溶性灰分</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77" w:type="dxa"/>
            <w:gridSpan w:val="2"/>
            <w:vAlign w:val="center"/>
          </w:tcPr>
          <w:p>
            <w:pPr>
              <w:pStyle w:val="119"/>
              <w:widowControl w:val="0"/>
              <w:ind w:firstLine="0" w:firstLineChars="0"/>
              <w:jc w:val="center"/>
              <w:rPr>
                <w:rFonts w:hint="default" w:eastAsia="宋体"/>
                <w:lang w:val="en-US" w:eastAsia="zh-CN"/>
              </w:rPr>
            </w:pPr>
            <w:r>
              <w:rPr>
                <w:rFonts w:hint="eastAsia"/>
                <w:sz w:val="18"/>
                <w:szCs w:val="18"/>
                <w:lang w:val="en-US" w:eastAsia="zh-CN"/>
              </w:rPr>
              <w:t>拟人参皂苷F</w:t>
            </w:r>
            <w:r>
              <w:rPr>
                <w:rFonts w:hint="eastAsia"/>
                <w:sz w:val="18"/>
                <w:szCs w:val="18"/>
                <w:vertAlign w:val="subscript"/>
                <w:lang w:val="en-US" w:eastAsia="zh-CN"/>
              </w:rPr>
              <w:t>11</w:t>
            </w:r>
            <w:r>
              <w:rPr>
                <w:rFonts w:hint="eastAsia" w:cs="Times New Roman"/>
                <w:color w:val="auto"/>
                <w:szCs w:val="21"/>
                <w:vertAlign w:val="baseline"/>
                <w:lang w:val="en-US" w:eastAsia="zh-CN"/>
              </w:rPr>
              <w:t>鉴别</w:t>
            </w:r>
          </w:p>
        </w:tc>
        <w:tc>
          <w:tcPr>
            <w:tcW w:w="2392" w:type="dxa"/>
            <w:vAlign w:val="top"/>
          </w:tcPr>
          <w:p>
            <w:pPr>
              <w:pStyle w:val="119"/>
              <w:widowControl w:val="0"/>
              <w:ind w:firstLine="0" w:firstLineChars="0"/>
              <w:rPr>
                <w:rFonts w:hint="default" w:eastAsia="宋体"/>
                <w:lang w:val="en-US" w:eastAsia="zh-CN"/>
              </w:rPr>
            </w:pPr>
            <w:r>
              <w:rPr>
                <w:rFonts w:hint="eastAsia"/>
                <w:color w:val="auto"/>
                <w:sz w:val="18"/>
                <w:szCs w:val="18"/>
                <w:lang w:val="en-US" w:eastAsia="zh-CN"/>
              </w:rPr>
              <w:t>在与阴性对照品色谱图中拟人参皂苷</w:t>
            </w:r>
            <w:r>
              <w:rPr>
                <w:rFonts w:hint="eastAsia"/>
                <w:sz w:val="18"/>
                <w:szCs w:val="18"/>
                <w:lang w:val="en-US" w:eastAsia="zh-CN"/>
              </w:rPr>
              <w:t>F</w:t>
            </w:r>
            <w:r>
              <w:rPr>
                <w:rFonts w:hint="eastAsia"/>
                <w:sz w:val="18"/>
                <w:szCs w:val="18"/>
                <w:vertAlign w:val="subscript"/>
                <w:lang w:val="en-US" w:eastAsia="zh-CN"/>
              </w:rPr>
              <w:t>11</w:t>
            </w:r>
            <w:r>
              <w:rPr>
                <w:rFonts w:hint="eastAsia"/>
                <w:sz w:val="18"/>
                <w:szCs w:val="18"/>
                <w:vertAlign w:val="baseline"/>
                <w:lang w:val="en-US" w:eastAsia="zh-CN"/>
              </w:rPr>
              <w:t>特征峰相同的时间无色谱峰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vMerge w:val="restart"/>
            <w:vAlign w:val="top"/>
          </w:tcPr>
          <w:p>
            <w:pPr>
              <w:pStyle w:val="119"/>
              <w:widowControl w:val="0"/>
              <w:ind w:firstLine="0" w:firstLineChars="0"/>
              <w:rPr>
                <w:rFonts w:hint="eastAsia"/>
                <w:lang w:val="en-US" w:eastAsia="zh-CN"/>
              </w:rPr>
            </w:pPr>
            <w:r>
              <w:rPr>
                <w:rFonts w:hint="eastAsia"/>
                <w:sz w:val="18"/>
                <w:szCs w:val="18"/>
              </w:rPr>
              <w:t>人参皂苷（%）</w:t>
            </w:r>
          </w:p>
        </w:tc>
        <w:tc>
          <w:tcPr>
            <w:tcW w:w="2389" w:type="dxa"/>
            <w:vAlign w:val="top"/>
          </w:tcPr>
          <w:p>
            <w:pPr>
              <w:pStyle w:val="119"/>
              <w:widowControl w:val="0"/>
              <w:ind w:firstLine="0" w:firstLineChars="0"/>
              <w:rPr>
                <w:rFonts w:hint="eastAsia"/>
                <w:lang w:val="en-US" w:eastAsia="zh-CN"/>
              </w:rPr>
            </w:pPr>
            <w:r>
              <w:rPr>
                <w:rFonts w:hint="eastAsia"/>
                <w:sz w:val="18"/>
                <w:szCs w:val="18"/>
              </w:rPr>
              <w:t>Rb1</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≥0.4</w:t>
            </w:r>
            <w:r>
              <w:rPr>
                <w:rFonts w:hint="eastAsia"/>
                <w:color w:val="auto"/>
                <w:sz w:val="18"/>
                <w:szCs w:val="1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vMerge w:val="continue"/>
            <w:vAlign w:val="top"/>
          </w:tcPr>
          <w:p>
            <w:pPr>
              <w:pStyle w:val="119"/>
              <w:widowControl w:val="0"/>
              <w:ind w:firstLine="0" w:firstLineChars="0"/>
              <w:rPr>
                <w:rFonts w:hint="eastAsia"/>
                <w:lang w:val="en-US" w:eastAsia="zh-CN"/>
              </w:rPr>
            </w:pPr>
          </w:p>
        </w:tc>
        <w:tc>
          <w:tcPr>
            <w:tcW w:w="2389" w:type="dxa"/>
            <w:vAlign w:val="top"/>
          </w:tcPr>
          <w:p>
            <w:pPr>
              <w:pStyle w:val="119"/>
              <w:widowControl w:val="0"/>
              <w:ind w:firstLine="0" w:firstLineChars="0"/>
              <w:rPr>
                <w:rFonts w:hint="eastAsia"/>
                <w:lang w:val="en-US" w:eastAsia="zh-CN"/>
              </w:rPr>
            </w:pPr>
            <w:r>
              <w:rPr>
                <w:rFonts w:hint="eastAsia"/>
                <w:sz w:val="18"/>
                <w:szCs w:val="18"/>
              </w:rPr>
              <w:t>Re+Rg1</w:t>
            </w:r>
          </w:p>
        </w:tc>
        <w:tc>
          <w:tcPr>
            <w:tcW w:w="2392" w:type="dxa"/>
            <w:vAlign w:val="top"/>
          </w:tcPr>
          <w:p>
            <w:pPr>
              <w:pStyle w:val="119"/>
              <w:widowControl w:val="0"/>
              <w:ind w:firstLine="0" w:firstLineChars="0"/>
              <w:rPr>
                <w:rFonts w:hint="eastAsia"/>
                <w:lang w:val="en-US" w:eastAsia="zh-CN"/>
              </w:rPr>
            </w:pPr>
            <w:r>
              <w:rPr>
                <w:rFonts w:hint="eastAsia"/>
                <w:color w:val="auto"/>
                <w:sz w:val="18"/>
                <w:szCs w:val="18"/>
              </w:rPr>
              <w:t>≥0.6</w:t>
            </w:r>
            <w:r>
              <w:rPr>
                <w:rFonts w:hint="eastAsia"/>
                <w:color w:val="auto"/>
                <w:sz w:val="18"/>
                <w:szCs w:val="1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777" w:type="dxa"/>
            <w:gridSpan w:val="2"/>
            <w:vAlign w:val="top"/>
          </w:tcPr>
          <w:p>
            <w:pPr>
              <w:pStyle w:val="119"/>
              <w:widowControl w:val="0"/>
              <w:ind w:firstLine="0" w:firstLineChars="0"/>
              <w:rPr>
                <w:rFonts w:hint="eastAsia"/>
                <w:lang w:val="en-US" w:eastAsia="zh-CN"/>
              </w:rPr>
            </w:pPr>
            <w:r>
              <w:rPr>
                <w:rFonts w:hint="eastAsia"/>
                <w:sz w:val="18"/>
                <w:szCs w:val="18"/>
              </w:rPr>
              <w:t>人参总皂苷（%）</w:t>
            </w:r>
          </w:p>
        </w:tc>
        <w:tc>
          <w:tcPr>
            <w:tcW w:w="2392" w:type="dxa"/>
            <w:vAlign w:val="top"/>
          </w:tcPr>
          <w:p>
            <w:pPr>
              <w:pStyle w:val="119"/>
              <w:widowControl w:val="0"/>
              <w:ind w:firstLine="0" w:firstLineChars="0"/>
              <w:rPr>
                <w:rFonts w:hint="eastAsia"/>
                <w:lang w:val="en-US" w:eastAsia="zh-CN"/>
              </w:rPr>
            </w:pPr>
            <w:r>
              <w:rPr>
                <w:rFonts w:hint="eastAsia"/>
                <w:sz w:val="18"/>
                <w:szCs w:val="18"/>
              </w:rPr>
              <w:t>≥4.50</w:t>
            </w:r>
          </w:p>
        </w:tc>
      </w:tr>
    </w:tbl>
    <w:p>
      <w:pPr>
        <w:pStyle w:val="104"/>
        <w:bidi w:val="0"/>
        <w:rPr>
          <w:rFonts w:hint="eastAsia"/>
          <w:lang w:val="en-US" w:eastAsia="zh-CN"/>
        </w:rPr>
      </w:pPr>
      <w:r>
        <w:rPr>
          <w:rFonts w:hint="eastAsia"/>
          <w:lang w:val="en-US" w:eastAsia="zh-CN"/>
        </w:rPr>
        <w:t>鲜桓仁山参的上述指标以干燥品计算。</w:t>
      </w:r>
    </w:p>
    <w:p>
      <w:pPr>
        <w:pStyle w:val="71"/>
        <w:bidi w:val="0"/>
        <w:rPr>
          <w:rFonts w:hint="eastAsia"/>
          <w:lang w:val="en-US" w:eastAsia="zh-CN"/>
        </w:rPr>
      </w:pPr>
      <w:r>
        <w:rPr>
          <w:rFonts w:hint="eastAsia"/>
          <w:lang w:val="en-US" w:eastAsia="zh-CN"/>
        </w:rPr>
        <w:t>加工要求</w:t>
      </w:r>
    </w:p>
    <w:p>
      <w:pPr>
        <w:pStyle w:val="23"/>
        <w:rPr>
          <w:rFonts w:hint="eastAsia"/>
          <w:lang w:val="en-US" w:eastAsia="zh-CN"/>
        </w:rPr>
      </w:pPr>
      <w:r>
        <w:rPr>
          <w:rFonts w:hint="eastAsia"/>
          <w:lang w:val="en-US" w:eastAsia="zh-CN"/>
        </w:rPr>
        <w:t>桓仁山参粉、桓仁山参片加工前，应符合表2、表4的规定，应经具有资质单位鉴定并留样后进行。</w:t>
      </w:r>
    </w:p>
    <w:p>
      <w:pPr>
        <w:pStyle w:val="71"/>
        <w:bidi w:val="0"/>
        <w:rPr>
          <w:rFonts w:hint="eastAsia"/>
          <w:lang w:val="en-US" w:eastAsia="zh-CN"/>
        </w:rPr>
      </w:pPr>
      <w:r>
        <w:rPr>
          <w:rFonts w:hint="eastAsia"/>
          <w:lang w:val="en-US" w:eastAsia="zh-CN"/>
        </w:rPr>
        <w:t>净含量</w:t>
      </w:r>
    </w:p>
    <w:p>
      <w:pPr>
        <w:pStyle w:val="23"/>
        <w:rPr>
          <w:rFonts w:hint="eastAsia"/>
          <w:lang w:val="en-US" w:eastAsia="zh-CN"/>
        </w:rPr>
      </w:pPr>
      <w:r>
        <w:rPr>
          <w:rFonts w:hint="eastAsia"/>
          <w:lang w:val="en-US" w:eastAsia="zh-CN"/>
        </w:rPr>
        <w:t>应符合《定量包装商品计量监督管理办法》规定。</w:t>
      </w:r>
    </w:p>
    <w:p>
      <w:pPr>
        <w:pStyle w:val="70"/>
        <w:bidi w:val="0"/>
        <w:rPr>
          <w:rFonts w:hint="eastAsia"/>
          <w:lang w:val="en-US" w:eastAsia="zh-CN"/>
        </w:rPr>
      </w:pPr>
      <w:r>
        <w:rPr>
          <w:rFonts w:hint="eastAsia"/>
          <w:lang w:val="en-US" w:eastAsia="zh-CN"/>
        </w:rPr>
        <w:t>检验方法</w:t>
      </w:r>
    </w:p>
    <w:p>
      <w:pPr>
        <w:pStyle w:val="71"/>
        <w:bidi w:val="0"/>
        <w:rPr>
          <w:rFonts w:hint="eastAsia"/>
          <w:lang w:val="en-US" w:eastAsia="zh-CN"/>
        </w:rPr>
      </w:pPr>
      <w:r>
        <w:rPr>
          <w:rFonts w:hint="eastAsia"/>
          <w:lang w:val="en-US" w:eastAsia="zh-CN"/>
        </w:rPr>
        <w:t>基本要求检验</w:t>
      </w:r>
    </w:p>
    <w:p>
      <w:pPr>
        <w:pStyle w:val="72"/>
        <w:bidi w:val="0"/>
        <w:rPr>
          <w:rFonts w:hint="eastAsia"/>
          <w:lang w:val="en-US" w:eastAsia="zh-CN"/>
        </w:rPr>
      </w:pPr>
      <w:r>
        <w:rPr>
          <w:rFonts w:hint="eastAsia"/>
          <w:lang w:val="en-US" w:eastAsia="zh-CN"/>
        </w:rPr>
        <w:t>检验条件</w:t>
      </w:r>
    </w:p>
    <w:p>
      <w:pPr>
        <w:pStyle w:val="23"/>
        <w:rPr>
          <w:rFonts w:hint="eastAsia"/>
          <w:lang w:val="en-US" w:eastAsia="zh-CN"/>
        </w:rPr>
      </w:pPr>
      <w:r>
        <w:rPr>
          <w:rFonts w:hint="eastAsia"/>
          <w:lang w:val="en-US" w:eastAsia="zh-CN"/>
        </w:rPr>
        <w:t>在自然光线下,将产品放置白色搪瓷盘中,用目力在室内无阳光直射处观察。</w:t>
      </w:r>
    </w:p>
    <w:p>
      <w:pPr>
        <w:pStyle w:val="72"/>
        <w:bidi w:val="0"/>
        <w:rPr>
          <w:rFonts w:hint="eastAsia"/>
          <w:lang w:val="en-US" w:eastAsia="zh-CN"/>
        </w:rPr>
      </w:pPr>
      <w:r>
        <w:rPr>
          <w:rFonts w:hint="eastAsia"/>
          <w:lang w:val="en-US" w:eastAsia="zh-CN"/>
        </w:rPr>
        <w:t>鲜桓仁山参、生晒桓仁山参检验</w:t>
      </w:r>
    </w:p>
    <w:p>
      <w:pPr>
        <w:pStyle w:val="23"/>
        <w:rPr>
          <w:rFonts w:hint="eastAsia"/>
          <w:lang w:val="en-US" w:eastAsia="zh-CN"/>
        </w:rPr>
      </w:pPr>
      <w:r>
        <w:rPr>
          <w:rFonts w:hint="eastAsia"/>
          <w:lang w:val="en-US" w:eastAsia="zh-CN"/>
        </w:rPr>
        <w:t xml:space="preserve">应检验以下方面: </w:t>
      </w:r>
    </w:p>
    <w:p>
      <w:pPr>
        <w:pStyle w:val="23"/>
        <w:numPr>
          <w:ilvl w:val="0"/>
          <w:numId w:val="21"/>
        </w:numPr>
        <w:rPr>
          <w:rFonts w:hint="eastAsia"/>
          <w:lang w:val="en-US" w:eastAsia="zh-CN"/>
        </w:rPr>
      </w:pPr>
      <w:r>
        <w:rPr>
          <w:rFonts w:hint="eastAsia"/>
          <w:lang w:val="en-US" w:eastAsia="zh-CN"/>
        </w:rPr>
        <w:t>鲜、生晒桓仁山参自然的完好性。</w:t>
      </w:r>
    </w:p>
    <w:p>
      <w:pPr>
        <w:pStyle w:val="23"/>
        <w:numPr>
          <w:ilvl w:val="0"/>
          <w:numId w:val="21"/>
        </w:numPr>
        <w:rPr>
          <w:rFonts w:hint="eastAsia"/>
          <w:lang w:val="en-US" w:eastAsia="zh-CN"/>
        </w:rPr>
      </w:pPr>
      <w:r>
        <w:rPr>
          <w:rFonts w:hint="eastAsia"/>
          <w:lang w:val="en-US" w:eastAsia="zh-CN"/>
        </w:rPr>
        <w:t>鲜、生晒桓仁山参清洁程度。</w:t>
      </w:r>
    </w:p>
    <w:p>
      <w:pPr>
        <w:pStyle w:val="23"/>
        <w:numPr>
          <w:ilvl w:val="0"/>
          <w:numId w:val="21"/>
        </w:numPr>
        <w:rPr>
          <w:rFonts w:hint="eastAsia"/>
          <w:lang w:val="en-US" w:eastAsia="zh-CN"/>
        </w:rPr>
      </w:pPr>
      <w:r>
        <w:rPr>
          <w:rFonts w:hint="eastAsia"/>
          <w:lang w:val="en-US" w:eastAsia="zh-CN"/>
        </w:rPr>
        <w:t>鲜、生晒桓仁山参病虫害程度。</w:t>
      </w:r>
    </w:p>
    <w:p>
      <w:pPr>
        <w:pStyle w:val="23"/>
        <w:numPr>
          <w:ilvl w:val="0"/>
          <w:numId w:val="21"/>
        </w:numPr>
        <w:ind w:left="0" w:leftChars="0" w:firstLine="420" w:firstLineChars="200"/>
        <w:rPr>
          <w:rFonts w:hint="eastAsia"/>
          <w:lang w:val="en-US" w:eastAsia="zh-CN"/>
        </w:rPr>
      </w:pPr>
      <w:r>
        <w:rPr>
          <w:rFonts w:hint="eastAsia"/>
          <w:lang w:val="en-US" w:eastAsia="zh-CN"/>
        </w:rPr>
        <w:t>鲜、生晒桓仁山参正常色泽及年限。</w:t>
      </w:r>
    </w:p>
    <w:p>
      <w:pPr>
        <w:pStyle w:val="72"/>
        <w:bidi w:val="0"/>
        <w:rPr>
          <w:rFonts w:hint="eastAsia"/>
          <w:lang w:val="en-US" w:eastAsia="zh-CN"/>
        </w:rPr>
      </w:pPr>
      <w:r>
        <w:rPr>
          <w:rFonts w:hint="eastAsia"/>
          <w:lang w:val="en-US" w:eastAsia="zh-CN"/>
        </w:rPr>
        <w:t>年限判断</w:t>
      </w:r>
    </w:p>
    <w:p>
      <w:pPr>
        <w:pStyle w:val="23"/>
        <w:rPr>
          <w:rFonts w:hint="eastAsia"/>
          <w:lang w:val="en-US" w:eastAsia="zh-CN"/>
        </w:rPr>
      </w:pPr>
      <w:r>
        <w:rPr>
          <w:rFonts w:hint="eastAsia"/>
          <w:lang w:val="en-US" w:eastAsia="zh-CN"/>
        </w:rPr>
        <w:t>根据桓仁山参芦碗个数和圆芦上的芦碗痕迹点及皮色老嫩判断桓仁山参年限。</w:t>
      </w:r>
    </w:p>
    <w:p>
      <w:pPr>
        <w:pStyle w:val="72"/>
        <w:bidi w:val="0"/>
        <w:rPr>
          <w:rFonts w:hint="eastAsia"/>
          <w:lang w:val="en-US" w:eastAsia="zh-CN"/>
        </w:rPr>
      </w:pPr>
      <w:r>
        <w:rPr>
          <w:rFonts w:hint="eastAsia"/>
          <w:lang w:val="en-US" w:eastAsia="zh-CN"/>
        </w:rPr>
        <w:t>体内异物的检验</w:t>
      </w:r>
    </w:p>
    <w:p>
      <w:pPr>
        <w:pStyle w:val="23"/>
        <w:rPr>
          <w:rFonts w:hint="eastAsia"/>
          <w:lang w:val="en-US" w:eastAsia="zh-CN"/>
        </w:rPr>
      </w:pPr>
      <w:r>
        <w:rPr>
          <w:rFonts w:hint="eastAsia"/>
          <w:lang w:val="en-US" w:eastAsia="zh-CN"/>
        </w:rPr>
        <w:t>可用金属探测设备或X光机进行检测。</w:t>
      </w:r>
    </w:p>
    <w:p>
      <w:pPr>
        <w:pStyle w:val="71"/>
        <w:bidi w:val="0"/>
        <w:rPr>
          <w:rFonts w:hint="eastAsia"/>
          <w:lang w:val="en-US" w:eastAsia="zh-CN"/>
        </w:rPr>
      </w:pPr>
      <w:r>
        <w:rPr>
          <w:rFonts w:hint="eastAsia"/>
          <w:lang w:val="en-US" w:eastAsia="zh-CN"/>
        </w:rPr>
        <w:t>等级检验</w:t>
      </w:r>
    </w:p>
    <w:p>
      <w:pPr>
        <w:pStyle w:val="72"/>
        <w:bidi w:val="0"/>
        <w:rPr>
          <w:rFonts w:hint="eastAsia"/>
          <w:lang w:val="en-US" w:eastAsia="zh-CN"/>
        </w:rPr>
      </w:pPr>
      <w:r>
        <w:rPr>
          <w:rFonts w:hint="eastAsia"/>
          <w:lang w:val="en-US" w:eastAsia="zh-CN"/>
        </w:rPr>
        <w:t xml:space="preserve"> </w:t>
      </w:r>
      <w:r>
        <w:rPr>
          <w:rFonts w:hint="eastAsia" w:ascii="宋体" w:hAnsi="Times New Roman" w:eastAsia="宋体" w:cs="宋体"/>
          <w:sz w:val="21"/>
          <w:lang w:val="en-US" w:eastAsia="zh-CN"/>
        </w:rPr>
        <w:t>性状检验按照《中华人民共和国药典》2020年版（一部）的规定执行。</w:t>
      </w:r>
    </w:p>
    <w:p>
      <w:pPr>
        <w:pStyle w:val="72"/>
        <w:bidi w:val="0"/>
        <w:rPr>
          <w:rFonts w:hint="eastAsia"/>
          <w:lang w:val="en-US" w:eastAsia="zh-CN"/>
        </w:rPr>
      </w:pPr>
      <w:r>
        <w:rPr>
          <w:rFonts w:hint="eastAsia"/>
          <w:lang w:val="en-US" w:eastAsia="zh-CN"/>
        </w:rPr>
        <w:t>鲜桓仁山参、生晒桓仁山参等级检验</w:t>
      </w:r>
    </w:p>
    <w:p>
      <w:pPr>
        <w:pStyle w:val="23"/>
        <w:rPr>
          <w:rFonts w:hint="eastAsia"/>
          <w:lang w:val="en-US" w:eastAsia="zh-CN"/>
        </w:rPr>
      </w:pPr>
      <w:r>
        <w:rPr>
          <w:rFonts w:hint="eastAsia"/>
          <w:lang w:val="en-US" w:eastAsia="zh-CN"/>
        </w:rPr>
        <w:t>在自然光线下,将产品放置白色搪瓷盘中,用目力在室内无阳光直射处观察,产品应符合表1或表2的要求。</w:t>
      </w:r>
    </w:p>
    <w:p>
      <w:pPr>
        <w:pStyle w:val="71"/>
        <w:bidi w:val="0"/>
        <w:rPr>
          <w:rFonts w:hint="eastAsia"/>
          <w:lang w:val="en-US" w:eastAsia="zh-CN"/>
        </w:rPr>
      </w:pPr>
      <w:r>
        <w:rPr>
          <w:rFonts w:hint="eastAsia"/>
          <w:lang w:val="en-US" w:eastAsia="zh-CN"/>
        </w:rPr>
        <w:t>规格检验</w:t>
      </w:r>
    </w:p>
    <w:p>
      <w:pPr>
        <w:pStyle w:val="23"/>
        <w:rPr>
          <w:rFonts w:hint="eastAsia"/>
          <w:lang w:val="en-US" w:eastAsia="zh-CN"/>
        </w:rPr>
      </w:pPr>
      <w:r>
        <w:rPr>
          <w:rFonts w:hint="eastAsia"/>
          <w:lang w:val="en-US" w:eastAsia="zh-CN"/>
        </w:rPr>
        <w:t>用天平(感量0.1g)检验。</w:t>
      </w:r>
    </w:p>
    <w:p>
      <w:pPr>
        <w:pStyle w:val="71"/>
        <w:bidi w:val="0"/>
        <w:rPr>
          <w:rFonts w:hint="eastAsia"/>
          <w:lang w:val="en-US" w:eastAsia="zh-CN"/>
        </w:rPr>
      </w:pPr>
      <w:r>
        <w:rPr>
          <w:rFonts w:hint="eastAsia"/>
          <w:lang w:val="en-US" w:eastAsia="zh-CN"/>
        </w:rPr>
        <w:t>理化指标</w:t>
      </w:r>
    </w:p>
    <w:p>
      <w:pPr>
        <w:pStyle w:val="72"/>
        <w:bidi w:val="0"/>
        <w:rPr>
          <w:rFonts w:hint="eastAsia"/>
          <w:lang w:val="en-US" w:eastAsia="zh-CN"/>
        </w:rPr>
      </w:pPr>
      <w:r>
        <w:rPr>
          <w:rFonts w:hint="eastAsia"/>
          <w:lang w:val="en-US" w:eastAsia="zh-CN"/>
        </w:rPr>
        <w:t>干品水分</w:t>
      </w:r>
    </w:p>
    <w:p>
      <w:pPr>
        <w:pStyle w:val="23"/>
        <w:rPr>
          <w:rFonts w:hint="eastAsia"/>
          <w:lang w:val="en-US" w:eastAsia="zh-CN"/>
        </w:rPr>
      </w:pPr>
      <w:r>
        <w:rPr>
          <w:rFonts w:hint="eastAsia"/>
          <w:lang w:val="en-US" w:eastAsia="zh-CN"/>
        </w:rPr>
        <w:t xml:space="preserve">按GB 5009.3的 </w:t>
      </w:r>
      <w:r>
        <w:rPr>
          <w:rFonts w:hint="default"/>
          <w:lang w:val="en-US" w:eastAsia="zh-CN"/>
        </w:rPr>
        <w:t>规定执行</w:t>
      </w:r>
      <w:r>
        <w:rPr>
          <w:rFonts w:hint="eastAsia"/>
          <w:lang w:val="en-US" w:eastAsia="zh-CN"/>
        </w:rPr>
        <w:t>。</w:t>
      </w:r>
    </w:p>
    <w:p>
      <w:pPr>
        <w:pStyle w:val="72"/>
        <w:bidi w:val="0"/>
        <w:rPr>
          <w:rFonts w:hint="eastAsia"/>
          <w:lang w:val="en-US" w:eastAsia="zh-CN"/>
        </w:rPr>
      </w:pPr>
      <w:r>
        <w:rPr>
          <w:rFonts w:hint="eastAsia"/>
          <w:lang w:val="en-US" w:eastAsia="zh-CN"/>
        </w:rPr>
        <w:t>总灰分及酸不溶性灰分的测定</w:t>
      </w:r>
    </w:p>
    <w:p>
      <w:pPr>
        <w:pStyle w:val="23"/>
        <w:rPr>
          <w:rFonts w:hint="default"/>
          <w:lang w:val="en-US" w:eastAsia="zh-CN"/>
        </w:rPr>
      </w:pPr>
      <w:r>
        <w:rPr>
          <w:rFonts w:hint="eastAsia"/>
          <w:lang w:val="en-US" w:eastAsia="zh-CN"/>
        </w:rPr>
        <w:t>按GB 5009.4 的规定执行。</w:t>
      </w:r>
    </w:p>
    <w:p>
      <w:pPr>
        <w:pStyle w:val="72"/>
        <w:bidi w:val="0"/>
        <w:rPr>
          <w:rFonts w:hint="eastAsia"/>
          <w:lang w:val="en-US" w:eastAsia="zh-CN"/>
        </w:rPr>
      </w:pPr>
      <w:r>
        <w:rPr>
          <w:rFonts w:hint="eastAsia"/>
          <w:lang w:val="en-US" w:eastAsia="zh-CN"/>
        </w:rPr>
        <w:t>拟人参皂苷</w:t>
      </w:r>
      <w:r>
        <w:rPr>
          <w:rFonts w:hint="eastAsia"/>
          <w:sz w:val="18"/>
          <w:szCs w:val="18"/>
          <w:lang w:val="en-US" w:eastAsia="zh-CN"/>
        </w:rPr>
        <w:t>F</w:t>
      </w:r>
      <w:r>
        <w:rPr>
          <w:rFonts w:hint="eastAsia"/>
          <w:sz w:val="18"/>
          <w:szCs w:val="18"/>
          <w:vertAlign w:val="subscript"/>
          <w:lang w:val="en-US" w:eastAsia="zh-CN"/>
        </w:rPr>
        <w:t>11</w:t>
      </w:r>
      <w:r>
        <w:rPr>
          <w:rFonts w:hint="eastAsia"/>
          <w:lang w:val="en-US" w:eastAsia="zh-CN"/>
        </w:rPr>
        <w:t>鉴别</w:t>
      </w:r>
    </w:p>
    <w:p>
      <w:pPr>
        <w:pStyle w:val="23"/>
        <w:rPr>
          <w:rFonts w:hint="eastAsia"/>
          <w:lang w:val="en-US" w:eastAsia="zh-CN"/>
        </w:rPr>
      </w:pPr>
      <w:r>
        <w:rPr>
          <w:rFonts w:hint="eastAsia"/>
          <w:lang w:val="en-US" w:eastAsia="zh-CN"/>
        </w:rPr>
        <w:t>按GB/T 22533规定执行。</w:t>
      </w:r>
    </w:p>
    <w:p>
      <w:pPr>
        <w:pStyle w:val="72"/>
        <w:bidi w:val="0"/>
        <w:rPr>
          <w:rFonts w:hint="eastAsia"/>
          <w:lang w:val="en-US" w:eastAsia="zh-CN"/>
        </w:rPr>
      </w:pPr>
      <w:r>
        <w:rPr>
          <w:rFonts w:hint="eastAsia"/>
          <w:lang w:val="en-US" w:eastAsia="zh-CN"/>
        </w:rPr>
        <w:t>人参皂苷Rb</w:t>
      </w:r>
      <w:r>
        <w:rPr>
          <w:rFonts w:hint="eastAsia"/>
          <w:vertAlign w:val="subscript"/>
          <w:lang w:val="en-US" w:eastAsia="zh-CN"/>
        </w:rPr>
        <w:t>1</w:t>
      </w:r>
      <w:r>
        <w:rPr>
          <w:rFonts w:hint="eastAsia"/>
          <w:lang w:val="en-US" w:eastAsia="zh-CN"/>
        </w:rPr>
        <w:t>、Re+Rg</w:t>
      </w:r>
      <w:r>
        <w:rPr>
          <w:rFonts w:hint="eastAsia"/>
          <w:vertAlign w:val="subscript"/>
          <w:lang w:val="en-US" w:eastAsia="zh-CN"/>
        </w:rPr>
        <w:t>1</w:t>
      </w:r>
      <w:r>
        <w:rPr>
          <w:rFonts w:hint="eastAsia"/>
          <w:lang w:val="en-US" w:eastAsia="zh-CN"/>
        </w:rPr>
        <w:t>含量测定</w:t>
      </w:r>
    </w:p>
    <w:p>
      <w:pPr>
        <w:pStyle w:val="23"/>
        <w:rPr>
          <w:rFonts w:hint="eastAsia"/>
          <w:lang w:val="en-US" w:eastAsia="zh-CN"/>
        </w:rPr>
      </w:pPr>
      <w:r>
        <w:rPr>
          <w:rFonts w:hint="eastAsia"/>
          <w:lang w:val="en-US" w:eastAsia="zh-CN"/>
        </w:rPr>
        <w:t>按GB/T 18765 附录A规定执行。</w:t>
      </w:r>
    </w:p>
    <w:p>
      <w:pPr>
        <w:pStyle w:val="72"/>
        <w:bidi w:val="0"/>
        <w:rPr>
          <w:rFonts w:hint="eastAsia"/>
          <w:lang w:val="en-US" w:eastAsia="zh-CN"/>
        </w:rPr>
      </w:pPr>
      <w:r>
        <w:t>人参总皂苷含量测定</w:t>
      </w:r>
    </w:p>
    <w:p>
      <w:pPr>
        <w:pStyle w:val="23"/>
        <w:rPr>
          <w:rFonts w:hint="eastAsia"/>
          <w:lang w:val="en-US" w:eastAsia="zh-CN"/>
        </w:rPr>
      </w:pPr>
      <w:r>
        <w:rPr>
          <w:rFonts w:hint="eastAsia"/>
          <w:lang w:val="en-US" w:eastAsia="zh-CN"/>
        </w:rPr>
        <w:t>按GB/T 18765 附录B规定执行。</w:t>
      </w:r>
    </w:p>
    <w:p>
      <w:pPr>
        <w:pStyle w:val="72"/>
        <w:bidi w:val="0"/>
        <w:rPr>
          <w:rFonts w:hint="eastAsia"/>
          <w:lang w:val="en-US" w:eastAsia="zh-CN"/>
        </w:rPr>
      </w:pPr>
      <w:r>
        <w:rPr>
          <w:rFonts w:hint="eastAsia"/>
          <w:lang w:val="en-US" w:eastAsia="zh-CN"/>
        </w:rPr>
        <w:t>净含量</w:t>
      </w:r>
    </w:p>
    <w:p>
      <w:pPr>
        <w:pStyle w:val="23"/>
        <w:rPr>
          <w:rFonts w:hint="default"/>
          <w:lang w:val="en-US" w:eastAsia="zh-CN"/>
        </w:rPr>
      </w:pPr>
      <w:r>
        <w:rPr>
          <w:rFonts w:hint="eastAsia"/>
          <w:lang w:val="en-US" w:eastAsia="zh-CN"/>
        </w:rPr>
        <w:t>按JJF 1070</w:t>
      </w:r>
      <w:r>
        <w:rPr>
          <w:rFonts w:hint="eastAsia" w:hAnsi="Times New Roman" w:cs="宋体"/>
          <w:sz w:val="21"/>
          <w:lang w:val="en-US" w:eastAsia="zh-CN"/>
        </w:rPr>
        <w:t>的规定执行。</w:t>
      </w:r>
    </w:p>
    <w:p>
      <w:pPr>
        <w:pStyle w:val="70"/>
        <w:bidi w:val="0"/>
        <w:rPr>
          <w:rFonts w:hint="eastAsia"/>
          <w:lang w:val="en-US" w:eastAsia="zh-CN"/>
        </w:rPr>
      </w:pPr>
      <w:r>
        <w:rPr>
          <w:rFonts w:hint="eastAsia"/>
          <w:lang w:val="en-US" w:eastAsia="zh-CN"/>
        </w:rPr>
        <w:t>检验规则</w:t>
      </w:r>
    </w:p>
    <w:p>
      <w:pPr>
        <w:pStyle w:val="71"/>
        <w:bidi w:val="0"/>
        <w:rPr>
          <w:rFonts w:hint="eastAsia"/>
          <w:lang w:val="en-US" w:eastAsia="zh-CN"/>
        </w:rPr>
      </w:pPr>
      <w:r>
        <w:rPr>
          <w:rFonts w:hint="eastAsia"/>
          <w:lang w:val="en-US" w:eastAsia="zh-CN"/>
        </w:rPr>
        <w:t>总则</w:t>
      </w:r>
    </w:p>
    <w:p>
      <w:pPr>
        <w:pStyle w:val="23"/>
        <w:rPr>
          <w:rFonts w:hint="eastAsia"/>
          <w:lang w:val="en-US" w:eastAsia="zh-CN"/>
        </w:rPr>
      </w:pPr>
      <w:r>
        <w:rPr>
          <w:rFonts w:hint="eastAsia"/>
          <w:lang w:val="en-US" w:eastAsia="zh-CN"/>
        </w:rPr>
        <w:t>桓仁山参检验应由具有资质单位进行鉴定。</w:t>
      </w:r>
    </w:p>
    <w:p>
      <w:pPr>
        <w:pStyle w:val="71"/>
        <w:bidi w:val="0"/>
        <w:rPr>
          <w:rFonts w:hint="eastAsia"/>
          <w:lang w:val="en-US" w:eastAsia="zh-CN"/>
        </w:rPr>
      </w:pPr>
      <w:r>
        <w:rPr>
          <w:rFonts w:hint="eastAsia"/>
        </w:rPr>
        <w:t>抽样和数量</w:t>
      </w:r>
    </w:p>
    <w:p>
      <w:pPr>
        <w:pStyle w:val="72"/>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性状、等级鉴定逐支进行。</w:t>
      </w:r>
    </w:p>
    <w:p>
      <w:pPr>
        <w:pStyle w:val="72"/>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理化指标在</w:t>
      </w:r>
      <w:r>
        <w:rPr>
          <w:rFonts w:hint="default" w:ascii="宋体" w:hAnsi="Times New Roman" w:eastAsia="宋体" w:cs="宋体"/>
          <w:sz w:val="21"/>
          <w:lang w:val="en-US" w:eastAsia="zh-CN"/>
        </w:rPr>
        <w:t>同一班次生产的同一品种、同一规格</w:t>
      </w:r>
      <w:r>
        <w:rPr>
          <w:rFonts w:hint="eastAsia" w:ascii="宋体" w:hAnsi="Times New Roman" w:eastAsia="宋体" w:cs="宋体"/>
          <w:sz w:val="21"/>
          <w:lang w:val="en-US" w:eastAsia="zh-CN"/>
        </w:rPr>
        <w:t>、同一产地、相同质量等级</w:t>
      </w:r>
      <w:r>
        <w:rPr>
          <w:rFonts w:hint="default" w:ascii="宋体" w:hAnsi="Times New Roman" w:eastAsia="宋体" w:cs="宋体"/>
          <w:sz w:val="21"/>
          <w:lang w:val="en-US" w:eastAsia="zh-CN"/>
        </w:rPr>
        <w:t>的产品</w:t>
      </w:r>
      <w:r>
        <w:rPr>
          <w:rFonts w:hint="eastAsia" w:ascii="宋体" w:hAnsi="Times New Roman" w:eastAsia="宋体" w:cs="宋体"/>
          <w:sz w:val="21"/>
          <w:lang w:val="en-US" w:eastAsia="zh-CN"/>
        </w:rPr>
        <w:t>中，随机方法抽取样品，每批次抽取样品不得少于50g。</w:t>
      </w:r>
    </w:p>
    <w:p>
      <w:pPr>
        <w:pStyle w:val="71"/>
        <w:bidi w:val="0"/>
        <w:rPr>
          <w:rFonts w:hint="eastAsia"/>
          <w:lang w:val="en-US" w:eastAsia="zh-CN"/>
        </w:rPr>
      </w:pPr>
      <w:r>
        <w:rPr>
          <w:rFonts w:hint="eastAsia"/>
          <w:lang w:val="en-US" w:eastAsia="zh-CN"/>
        </w:rPr>
        <w:t>出厂检验</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桓仁山参出厂前，按5.1、5.2逐支（盒）进行检验。</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桓仁山参粉和桓仁山参片出厂检验应符合表2和表5的要求。</w:t>
      </w:r>
    </w:p>
    <w:p>
      <w:pPr>
        <w:pStyle w:val="71"/>
        <w:bidi w:val="0"/>
        <w:rPr>
          <w:rFonts w:hint="eastAsia"/>
          <w:lang w:val="en-US" w:eastAsia="zh-CN"/>
        </w:rPr>
      </w:pPr>
      <w:r>
        <w:rPr>
          <w:rFonts w:hint="eastAsia"/>
          <w:lang w:val="en-US" w:eastAsia="zh-CN"/>
        </w:rPr>
        <w:t>判定规则</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桓仁山参不符合5.1及5.2规定的，不予单支鉴定。</w:t>
      </w:r>
    </w:p>
    <w:p>
      <w:pPr>
        <w:pStyle w:val="72"/>
        <w:bidi w:val="0"/>
        <w:rPr>
          <w:rFonts w:hint="eastAsia" w:ascii="宋体" w:hAnsi="宋体" w:eastAsia="宋体" w:cs="宋体"/>
          <w:lang w:val="en-US" w:eastAsia="zh-CN"/>
        </w:rPr>
      </w:pPr>
      <w:r>
        <w:rPr>
          <w:rFonts w:hint="eastAsia" w:ascii="宋体" w:hAnsi="宋体" w:eastAsia="宋体" w:cs="宋体"/>
          <w:lang w:val="en-US" w:eastAsia="zh-CN"/>
        </w:rPr>
        <w:t>理化指标有一项不合格时，可从该产品中加倍采样重新复检，如全部合格时可判定产品合格，仍有一项不合格时，可判定该产品为不合格产品。</w:t>
      </w:r>
    </w:p>
    <w:p>
      <w:pPr>
        <w:pStyle w:val="70"/>
        <w:bidi w:val="0"/>
        <w:rPr>
          <w:rFonts w:hint="eastAsia"/>
          <w:lang w:val="en-US" w:eastAsia="zh-CN"/>
        </w:rPr>
      </w:pPr>
      <w:bookmarkStart w:id="21" w:name="_Toc11078"/>
      <w:r>
        <w:rPr>
          <w:rFonts w:hint="eastAsia"/>
          <w:lang w:val="en-US" w:eastAsia="zh-CN"/>
        </w:rPr>
        <w:t>标志、包装、运输和</w:t>
      </w:r>
      <w:bookmarkStart w:id="28" w:name="_GoBack"/>
      <w:bookmarkEnd w:id="28"/>
      <w:r>
        <w:rPr>
          <w:rFonts w:hint="eastAsia"/>
          <w:lang w:val="en-US" w:eastAsia="zh-CN"/>
        </w:rPr>
        <w:t>贮存</w:t>
      </w:r>
      <w:bookmarkEnd w:id="21"/>
    </w:p>
    <w:p>
      <w:pPr>
        <w:pStyle w:val="71"/>
        <w:bidi w:val="0"/>
        <w:rPr>
          <w:rFonts w:hint="eastAsia"/>
          <w:lang w:val="en-US" w:eastAsia="zh-CN"/>
        </w:rPr>
      </w:pPr>
      <w:bookmarkStart w:id="22" w:name="_Toc12614"/>
      <w:r>
        <w:rPr>
          <w:rFonts w:hint="eastAsia"/>
          <w:lang w:val="en-US" w:eastAsia="zh-CN"/>
        </w:rPr>
        <w:t>标志</w:t>
      </w:r>
      <w:bookmarkEnd w:id="22"/>
    </w:p>
    <w:p>
      <w:pPr>
        <w:keepNext w:val="0"/>
        <w:keepLines w:val="0"/>
        <w:pageBreakBefore w:val="0"/>
        <w:kinsoku/>
        <w:wordWrap/>
        <w:overflowPunct/>
        <w:topLinePunct w:val="0"/>
        <w:bidi w:val="0"/>
        <w:adjustRightInd/>
        <w:snapToGrid/>
        <w:ind w:leftChars="0" w:firstLine="420" w:firstLineChars="200"/>
        <w:textAlignment w:val="auto"/>
        <w:rPr>
          <w:rFonts w:hint="eastAsia"/>
          <w:lang w:val="en-US" w:eastAsia="zh-CN"/>
        </w:rPr>
      </w:pPr>
      <w:r>
        <w:rPr>
          <w:rFonts w:hint="eastAsia" w:ascii="宋体" w:hAnsi="Times New Roman" w:eastAsia="宋体" w:cs="宋体"/>
          <w:kern w:val="0"/>
          <w:sz w:val="21"/>
          <w:szCs w:val="20"/>
          <w:lang w:eastAsia="zh-CN"/>
        </w:rPr>
        <w:t>标签标注应符合</w:t>
      </w:r>
      <w:r>
        <w:rPr>
          <w:rFonts w:hint="eastAsia" w:ascii="宋体" w:hAnsi="Times New Roman" w:eastAsia="宋体" w:cs="宋体"/>
          <w:kern w:val="0"/>
          <w:sz w:val="21"/>
          <w:szCs w:val="20"/>
          <w:lang w:val="en-US" w:eastAsia="zh-CN"/>
        </w:rPr>
        <w:t>GB 7718、GB 28050规定。</w:t>
      </w:r>
      <w:r>
        <w:rPr>
          <w:rFonts w:hint="eastAsia" w:ascii="宋体" w:hAnsi="Times New Roman" w:eastAsia="宋体" w:cs="宋体"/>
          <w:kern w:val="0"/>
          <w:sz w:val="21"/>
          <w:szCs w:val="20"/>
          <w:lang w:eastAsia="zh-CN"/>
        </w:rPr>
        <w:t>获准使用地理标志产品专用标志的生产者 ,可在其产品包装上使用地理标志产品专用标志，标志的使用应符合《地理标志专用标志使用管理办法(试行)》。产品名称应按本文件规定的名称标注。外包装标</w:t>
      </w:r>
      <w:r>
        <w:rPr>
          <w:rFonts w:hint="eastAsia" w:ascii="宋体" w:hAnsi="Times New Roman" w:eastAsia="宋体" w:cs="宋体"/>
          <w:kern w:val="0"/>
          <w:sz w:val="21"/>
          <w:szCs w:val="20"/>
          <w:lang w:val="en-US" w:eastAsia="zh-CN"/>
        </w:rPr>
        <w:t>志</w:t>
      </w:r>
      <w:r>
        <w:rPr>
          <w:rFonts w:hint="eastAsia" w:ascii="宋体" w:hAnsi="Times New Roman" w:eastAsia="宋体" w:cs="宋体"/>
          <w:kern w:val="0"/>
          <w:sz w:val="21"/>
          <w:szCs w:val="20"/>
          <w:lang w:eastAsia="zh-CN"/>
        </w:rPr>
        <w:t>应符合</w:t>
      </w:r>
      <w:r>
        <w:rPr>
          <w:rFonts w:hint="eastAsia" w:ascii="宋体" w:hAnsi="Times New Roman" w:eastAsia="宋体" w:cs="宋体"/>
          <w:kern w:val="0"/>
          <w:sz w:val="21"/>
          <w:szCs w:val="20"/>
          <w:lang w:val="en-US" w:eastAsia="zh-CN"/>
        </w:rPr>
        <w:t>GB/T 191</w:t>
      </w:r>
      <w:r>
        <w:rPr>
          <w:rFonts w:hint="eastAsia" w:ascii="宋体" w:hAnsi="Times New Roman" w:eastAsia="宋体" w:cs="宋体"/>
          <w:kern w:val="0"/>
          <w:sz w:val="21"/>
          <w:szCs w:val="20"/>
          <w:lang w:eastAsia="zh-CN"/>
        </w:rPr>
        <w:t>的规定。</w:t>
      </w:r>
    </w:p>
    <w:p>
      <w:pPr>
        <w:pStyle w:val="71"/>
        <w:bidi w:val="0"/>
        <w:rPr>
          <w:rFonts w:hint="eastAsia"/>
          <w:lang w:val="en-US" w:eastAsia="zh-CN"/>
        </w:rPr>
      </w:pPr>
      <w:bookmarkStart w:id="23" w:name="_Toc3501"/>
      <w:r>
        <w:rPr>
          <w:rFonts w:hint="eastAsia"/>
          <w:lang w:val="en-US" w:eastAsia="zh-CN"/>
        </w:rPr>
        <w:t>包装</w:t>
      </w:r>
      <w:bookmarkEnd w:id="23"/>
    </w:p>
    <w:p>
      <w:pPr>
        <w:pStyle w:val="23"/>
        <w:rPr>
          <w:rFonts w:hint="eastAsia"/>
          <w:lang w:val="en-US" w:eastAsia="zh-CN"/>
        </w:rPr>
      </w:pPr>
      <w:r>
        <w:rPr>
          <w:rFonts w:hint="eastAsia"/>
          <w:lang w:val="en-US" w:eastAsia="zh-CN"/>
        </w:rPr>
        <w:t>每支桓仁山参包装应用防潮、无毒、无异味的木盒或纸盒包装，包装应符合GB 9683的规定。</w:t>
      </w:r>
    </w:p>
    <w:p>
      <w:pPr>
        <w:pStyle w:val="71"/>
        <w:bidi w:val="0"/>
        <w:rPr>
          <w:rFonts w:hint="eastAsia"/>
          <w:lang w:val="en-US" w:eastAsia="zh-CN"/>
        </w:rPr>
      </w:pPr>
      <w:bookmarkStart w:id="24" w:name="_Toc10361"/>
      <w:r>
        <w:rPr>
          <w:rFonts w:hint="eastAsia"/>
          <w:lang w:val="en-US" w:eastAsia="zh-CN"/>
        </w:rPr>
        <w:t>运输</w:t>
      </w:r>
      <w:bookmarkEnd w:id="24"/>
    </w:p>
    <w:p>
      <w:pPr>
        <w:pStyle w:val="23"/>
        <w:rPr>
          <w:rFonts w:hint="eastAsia"/>
          <w:lang w:val="en-US" w:eastAsia="zh-CN"/>
        </w:rPr>
      </w:pPr>
      <w:r>
        <w:rPr>
          <w:rFonts w:hint="eastAsia"/>
          <w:lang w:val="en-US" w:eastAsia="zh-CN"/>
        </w:rPr>
        <w:t>运输的交通工具应清洁、卫生、无异味；运输时应防雨、防潮、防曝晒，小心轻放；严禁与有毒、易污染物品混装、混运。</w:t>
      </w:r>
    </w:p>
    <w:p>
      <w:pPr>
        <w:pStyle w:val="71"/>
        <w:bidi w:val="0"/>
        <w:rPr>
          <w:rFonts w:hint="eastAsia"/>
          <w:highlight w:val="none"/>
          <w:lang w:val="en-US" w:eastAsia="zh-CN"/>
        </w:rPr>
      </w:pPr>
      <w:bookmarkStart w:id="25" w:name="_Toc5762"/>
      <w:r>
        <w:rPr>
          <w:rFonts w:hint="eastAsia"/>
          <w:highlight w:val="none"/>
          <w:lang w:val="en-US" w:eastAsia="zh-CN"/>
        </w:rPr>
        <w:t>贮存</w:t>
      </w:r>
      <w:bookmarkEnd w:id="25"/>
    </w:p>
    <w:p>
      <w:pPr>
        <w:pStyle w:val="23"/>
        <w:rPr>
          <w:rFonts w:hint="eastAsia"/>
          <w:lang w:val="en-US" w:eastAsia="zh-CN"/>
        </w:rPr>
      </w:pPr>
      <w:r>
        <w:rPr>
          <w:rFonts w:hint="eastAsia"/>
          <w:lang w:val="en-US" w:eastAsia="zh-CN"/>
        </w:rPr>
        <w:t>生晒桓仁山参、桓仁山参粉、桓仁山参片应贮存在清洁卫生、阴凉干燥、通风、防潮、防虫、无异味的库房中或冰柜中。鲜桓仁山参应用保鲜专柜储存，定期检查贮存情况。</w:t>
      </w: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pStyle w:val="23"/>
        <w:rPr>
          <w:rFonts w:hint="eastAsia"/>
          <w:lang w:val="en-US" w:eastAsia="zh-CN"/>
        </w:rPr>
      </w:pPr>
    </w:p>
    <w:p>
      <w:pPr>
        <w:rPr>
          <w:rFonts w:hint="eastAsia"/>
          <w:lang w:val="en-US" w:eastAsia="zh-CN"/>
        </w:rPr>
      </w:pPr>
      <w:r>
        <w:rPr>
          <w:rFonts w:hint="eastAsia"/>
          <w:lang w:val="en-US" w:eastAsia="zh-CN"/>
        </w:rPr>
        <w:br w:type="page"/>
      </w:r>
      <w:bookmarkStart w:id="26" w:name="BKFL"/>
    </w:p>
    <w:p>
      <w:pPr>
        <w:pStyle w:val="97"/>
        <w:bidi w:val="0"/>
        <w:rPr>
          <w:rFonts w:hint="eastAsia"/>
          <w:lang w:val="en-US" w:eastAsia="zh-CN"/>
        </w:rPr>
      </w:pPr>
    </w:p>
    <w:p>
      <w:pPr>
        <w:pStyle w:val="99"/>
        <w:bidi w:val="0"/>
        <w:rPr>
          <w:rFonts w:hint="eastAsia"/>
          <w:lang w:val="en-US" w:eastAsia="zh-CN"/>
        </w:rPr>
      </w:pPr>
    </w:p>
    <w:p>
      <w:pPr>
        <w:pStyle w:val="86"/>
        <w:bidi w:val="0"/>
        <w:rPr>
          <w:rFonts w:hint="eastAsia"/>
          <w:lang w:val="en-US" w:eastAsia="zh-CN"/>
        </w:rPr>
      </w:pPr>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桓仁山参地理标志产品保护范围图</w:t>
      </w:r>
    </w:p>
    <w:p>
      <w:pPr>
        <w:pStyle w:val="23"/>
        <w:rPr>
          <w:rFonts w:hint="eastAsia"/>
          <w:lang w:val="en-US" w:eastAsia="zh-CN"/>
        </w:rPr>
      </w:pPr>
      <w:r>
        <w:rPr>
          <w:rFonts w:hint="eastAsia" w:hAnsi="宋体" w:cs="宋体"/>
        </w:rPr>
        <w:t>桓仁</w:t>
      </w:r>
      <w:r>
        <w:rPr>
          <w:rFonts w:hint="eastAsia" w:hAnsi="宋体" w:cs="宋体"/>
          <w:lang w:val="en-US" w:eastAsia="zh-CN"/>
        </w:rPr>
        <w:t>山参</w:t>
      </w:r>
      <w:r>
        <w:rPr>
          <w:rFonts w:hint="eastAsia" w:hAnsi="宋体" w:cs="宋体"/>
        </w:rPr>
        <w:t>地理标志产品保护范围见图A.1。</w:t>
      </w:r>
    </w:p>
    <w:p>
      <w:pPr>
        <w:pStyle w:val="23"/>
        <w:ind w:left="0" w:leftChars="0" w:firstLine="0" w:firstLineChars="0"/>
        <w:rPr>
          <w:rFonts w:hint="eastAsia"/>
          <w:lang w:val="en-US" w:eastAsia="zh-CN"/>
        </w:rPr>
      </w:pPr>
      <w:r>
        <w:rPr>
          <w:rFonts w:hint="eastAsia"/>
          <w:lang w:val="en-US" w:eastAsia="zh-CN"/>
        </w:rPr>
        <w:drawing>
          <wp:inline distT="0" distB="0" distL="114300" distR="114300">
            <wp:extent cx="5917565" cy="4838065"/>
            <wp:effectExtent l="0" t="0" r="6985" b="635"/>
            <wp:docPr id="2" name="图片 2" descr="8edd4fbda62dec9d48dd783c3fd8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edd4fbda62dec9d48dd783c3fd84d0"/>
                    <pic:cNvPicPr>
                      <a:picLocks noChangeAspect="1"/>
                    </pic:cNvPicPr>
                  </pic:nvPicPr>
                  <pic:blipFill>
                    <a:blip r:embed="rId7"/>
                    <a:stretch>
                      <a:fillRect/>
                    </a:stretch>
                  </pic:blipFill>
                  <pic:spPr>
                    <a:xfrm>
                      <a:off x="0" y="0"/>
                      <a:ext cx="5917565" cy="4838065"/>
                    </a:xfrm>
                    <a:prstGeom prst="rect">
                      <a:avLst/>
                    </a:prstGeom>
                  </pic:spPr>
                </pic:pic>
              </a:graphicData>
            </a:graphic>
          </wp:inline>
        </w:drawing>
      </w:r>
    </w:p>
    <w:p>
      <w:pPr>
        <w:pStyle w:val="106"/>
        <w:bidi w:val="0"/>
        <w:jc w:val="center"/>
        <w:rPr>
          <w:rFonts w:hint="eastAsia"/>
          <w:lang w:val="en-US" w:eastAsia="zh-CN"/>
        </w:rPr>
      </w:pPr>
      <w:r>
        <w:rPr>
          <w:rFonts w:hint="eastAsia"/>
          <w:lang w:val="en-US" w:eastAsia="zh-CN"/>
        </w:rPr>
        <w:t>图A.1 桓仁山参地理标志产品保护范围图</w:t>
      </w:r>
    </w:p>
    <w:p>
      <w:pPr>
        <w:pStyle w:val="23"/>
        <w:rPr>
          <w:rFonts w:hint="eastAsia"/>
          <w:lang w:val="en-US" w:eastAsia="zh-CN"/>
        </w:rPr>
      </w:pPr>
    </w:p>
    <w:bookmarkEnd w:id="26"/>
    <w:p>
      <w:pPr>
        <w:pStyle w:val="23"/>
        <w:rPr>
          <w:rFonts w:hint="eastAsia"/>
          <w:lang w:val="en-US" w:eastAsia="zh-CN"/>
        </w:rPr>
      </w:pPr>
    </w:p>
    <w:p>
      <w:pPr>
        <w:pStyle w:val="110"/>
        <w:bidi w:val="0"/>
        <w:rPr>
          <w:rFonts w:hint="eastAsia"/>
          <w:lang w:val="en-US" w:eastAsia="zh-CN"/>
        </w:rPr>
      </w:pPr>
      <w:bookmarkStart w:id="27" w:name="EndLine"/>
      <w:r>
        <w:rPr>
          <w:rFonts w:hint="eastAsia"/>
          <w:lang w:val="en-US" w:eastAsia="zh-CN"/>
        </w:rPr>
        <w:drawing>
          <wp:inline distT="0" distB="0" distL="114300" distR="114300">
            <wp:extent cx="1485900" cy="317500"/>
            <wp:effectExtent l="0" t="0" r="0" b="6350"/>
            <wp:docPr id="3" name="图片 3" descr="EndLine"/>
            <wp:cNvGraphicFramePr/>
            <a:graphic xmlns:a="http://schemas.openxmlformats.org/drawingml/2006/main">
              <a:graphicData uri="http://schemas.openxmlformats.org/drawingml/2006/picture">
                <pic:pic xmlns:pic="http://schemas.openxmlformats.org/drawingml/2006/picture">
                  <pic:nvPicPr>
                    <pic:cNvPr id="3" name="图片 3" descr="EndLine"/>
                    <pic:cNvPicPr/>
                  </pic:nvPicPr>
                  <pic:blipFill>
                    <a:blip r:embed="rId8"/>
                    <a:stretch>
                      <a:fillRect/>
                    </a:stretch>
                  </pic:blipFill>
                  <pic:spPr>
                    <a:xfrm>
                      <a:off x="0" y="0"/>
                      <a:ext cx="1485900" cy="317500"/>
                    </a:xfrm>
                    <a:prstGeom prst="rect">
                      <a:avLst/>
                    </a:prstGeom>
                  </pic:spPr>
                </pic:pic>
              </a:graphicData>
            </a:graphic>
          </wp:inline>
        </w:drawing>
      </w:r>
      <w:bookmarkEnd w:id="27"/>
    </w:p>
    <w:sectPr>
      <w:pgSz w:w="11906" w:h="16838"/>
      <w:pgMar w:top="2410" w:right="1134" w:bottom="1134" w:left="1134" w:header="1418" w:footer="1134" w:gutter="284"/>
      <w:lnNumType w:countBy="0" w:restart="continuous"/>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bidi w:val="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黑体"/>
        <w:lang w:val="en-US" w:eastAsia="zh-CN"/>
      </w:rPr>
    </w:pPr>
    <w:r>
      <w:rPr>
        <w:rFonts w:hint="eastAsia"/>
        <w:lang w:val="en-US" w:eastAsia="zh-CN"/>
      </w:rPr>
      <w:t>DB2105/T 003—2023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B0135"/>
    <w:multiLevelType w:val="multilevel"/>
    <w:tmpl w:val="8B9B0135"/>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835703F"/>
    <w:multiLevelType w:val="multilevel"/>
    <w:tmpl w:val="9835703F"/>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A7AD69C"/>
    <w:multiLevelType w:val="multilevel"/>
    <w:tmpl w:val="9A7AD69C"/>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A449EC5A"/>
    <w:multiLevelType w:val="multilevel"/>
    <w:tmpl w:val="A449EC5A"/>
    <w:lvl w:ilvl="0" w:tentative="0">
      <w:start w:val="1"/>
      <w:numFmt w:val="none"/>
      <w:pStyle w:val="102"/>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848F5F2"/>
    <w:multiLevelType w:val="multilevel"/>
    <w:tmpl w:val="B848F5F2"/>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6824FD2"/>
    <w:multiLevelType w:val="multilevel"/>
    <w:tmpl w:val="C6824FD2"/>
    <w:lvl w:ilvl="0" w:tentative="0">
      <w:start w:val="1"/>
      <w:numFmt w:val="decimal"/>
      <w:pStyle w:val="103"/>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C7E1BC09"/>
    <w:multiLevelType w:val="multilevel"/>
    <w:tmpl w:val="C7E1BC09"/>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CFABF603"/>
    <w:multiLevelType w:val="multilevel"/>
    <w:tmpl w:val="CFABF603"/>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D3DC535C"/>
    <w:multiLevelType w:val="multilevel"/>
    <w:tmpl w:val="D3DC535C"/>
    <w:lvl w:ilvl="0" w:tentative="0">
      <w:start w:val="1"/>
      <w:numFmt w:val="none"/>
      <w:pStyle w:val="104"/>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F1ECF45E"/>
    <w:multiLevelType w:val="multilevel"/>
    <w:tmpl w:val="F1ECF45E"/>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0">
    <w:nsid w:val="1EAC0B73"/>
    <w:multiLevelType w:val="multilevel"/>
    <w:tmpl w:val="1EAC0B73"/>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1">
    <w:nsid w:val="28581F16"/>
    <w:multiLevelType w:val="multilevel"/>
    <w:tmpl w:val="28581F16"/>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4E8376F5"/>
    <w:multiLevelType w:val="multilevel"/>
    <w:tmpl w:val="4E8376F5"/>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5143C2E7"/>
    <w:multiLevelType w:val="multilevel"/>
    <w:tmpl w:val="5143C2E7"/>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3"/>
      <w:suff w:val="space"/>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21AC53C"/>
    <w:multiLevelType w:val="singleLevel"/>
    <w:tmpl w:val="621AC53C"/>
    <w:lvl w:ilvl="0" w:tentative="0">
      <w:start w:val="1"/>
      <w:numFmt w:val="lowerLetter"/>
      <w:lvlText w:val="%1)"/>
      <w:lvlJc w:val="left"/>
      <w:pPr>
        <w:tabs>
          <w:tab w:val="left" w:pos="312"/>
        </w:tabs>
      </w:pPr>
    </w:lvl>
  </w:abstractNum>
  <w:abstractNum w:abstractNumId="15">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667B2E96"/>
    <w:multiLevelType w:val="multilevel"/>
    <w:tmpl w:val="667B2E96"/>
    <w:lvl w:ilvl="0" w:tentative="0">
      <w:start w:val="1"/>
      <w:numFmt w:val="none"/>
      <w:pStyle w:val="55"/>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pStyle w:val="122"/>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78C7CB75"/>
    <w:multiLevelType w:val="multilevel"/>
    <w:tmpl w:val="78C7CB75"/>
    <w:lvl w:ilvl="0" w:tentative="0">
      <w:start w:val="1"/>
      <w:numFmt w:val="decimal"/>
      <w:pStyle w:val="105"/>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9">
    <w:nsid w:val="79C81673"/>
    <w:multiLevelType w:val="multilevel"/>
    <w:tmpl w:val="79C81673"/>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0">
    <w:nsid w:val="7A063B9D"/>
    <w:multiLevelType w:val="multilevel"/>
    <w:tmpl w:val="7A063B9D"/>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num w:numId="1">
    <w:abstractNumId w:val="6"/>
  </w:num>
  <w:num w:numId="2">
    <w:abstractNumId w:val="20"/>
  </w:num>
  <w:num w:numId="3">
    <w:abstractNumId w:val="12"/>
  </w:num>
  <w:num w:numId="4">
    <w:abstractNumId w:val="0"/>
  </w:num>
  <w:num w:numId="5">
    <w:abstractNumId w:val="16"/>
  </w:num>
  <w:num w:numId="6">
    <w:abstractNumId w:val="2"/>
  </w:num>
  <w:num w:numId="7">
    <w:abstractNumId w:val="11"/>
  </w:num>
  <w:num w:numId="8">
    <w:abstractNumId w:val="7"/>
  </w:num>
  <w:num w:numId="9">
    <w:abstractNumId w:val="10"/>
  </w:num>
  <w:num w:numId="10">
    <w:abstractNumId w:val="3"/>
  </w:num>
  <w:num w:numId="11">
    <w:abstractNumId w:val="5"/>
  </w:num>
  <w:num w:numId="12">
    <w:abstractNumId w:val="8"/>
  </w:num>
  <w:num w:numId="13">
    <w:abstractNumId w:val="18"/>
  </w:num>
  <w:num w:numId="14">
    <w:abstractNumId w:val="1"/>
  </w:num>
  <w:num w:numId="15">
    <w:abstractNumId w:val="19"/>
  </w:num>
  <w:num w:numId="16">
    <w:abstractNumId w:val="4"/>
  </w:num>
  <w:num w:numId="17">
    <w:abstractNumId w:val="9"/>
  </w:num>
  <w:num w:numId="18">
    <w:abstractNumId w:val="15"/>
  </w:num>
  <w:num w:numId="19">
    <w:abstractNumId w:val="17"/>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WU4ZDQ1Mzg3OGNjYjMyZDg5NTI3NjU3ZWI2YTMifQ=="/>
  </w:docVars>
  <w:rsids>
    <w:rsidRoot w:val="498E01B0"/>
    <w:rsid w:val="00EC3FB8"/>
    <w:rsid w:val="03A06237"/>
    <w:rsid w:val="06B7274D"/>
    <w:rsid w:val="0ADB61D5"/>
    <w:rsid w:val="0F9B7238"/>
    <w:rsid w:val="112C6057"/>
    <w:rsid w:val="123F000C"/>
    <w:rsid w:val="1413704F"/>
    <w:rsid w:val="15195B63"/>
    <w:rsid w:val="27167136"/>
    <w:rsid w:val="2E3B6964"/>
    <w:rsid w:val="33AB5DD1"/>
    <w:rsid w:val="34346E4D"/>
    <w:rsid w:val="344324B0"/>
    <w:rsid w:val="361C6F85"/>
    <w:rsid w:val="36BD75CE"/>
    <w:rsid w:val="3C235CFD"/>
    <w:rsid w:val="421B33FA"/>
    <w:rsid w:val="436363D0"/>
    <w:rsid w:val="498E01B0"/>
    <w:rsid w:val="54FE4B8B"/>
    <w:rsid w:val="56BA3210"/>
    <w:rsid w:val="59217BE4"/>
    <w:rsid w:val="5BB44899"/>
    <w:rsid w:val="5CAB6E55"/>
    <w:rsid w:val="5DC931B6"/>
    <w:rsid w:val="5ED62196"/>
    <w:rsid w:val="61533AA1"/>
    <w:rsid w:val="617A1A94"/>
    <w:rsid w:val="63644C9D"/>
    <w:rsid w:val="664F4D62"/>
    <w:rsid w:val="685A64FE"/>
    <w:rsid w:val="71AC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42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Ansi="Times New Roman"/>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ind w:firstLine="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ind w:firstLine="0"/>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tabs>
        <w:tab w:val="left" w:pos="539"/>
      </w:tabs>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tabs>
        <w:tab w:val="left" w:pos="539"/>
      </w:tabs>
      <w:suppressAutoHyphens w:val="0"/>
      <w:ind w:firstLine="363"/>
    </w:pPr>
    <w:rPr>
      <w:rFonts w:hAnsi="Times New Roman"/>
      <w:sz w:val="18"/>
    </w:rPr>
  </w:style>
  <w:style w:type="paragraph" w:customStyle="1" w:styleId="104">
    <w:name w:val="标准文件_注"/>
    <w:next w:val="23"/>
    <w:qFormat/>
    <w:uiPriority w:val="0"/>
    <w:pPr>
      <w:numPr>
        <w:ilvl w:val="0"/>
        <w:numId w:val="12"/>
      </w:numPr>
      <w:tabs>
        <w:tab w:val="left" w:pos="539"/>
      </w:tabs>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tabs>
        <w:tab w:val="left" w:pos="539"/>
      </w:tabs>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正文表标题"/>
    <w:next w:val="119"/>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1">
    <w:name w:val="三级无"/>
    <w:basedOn w:val="122"/>
    <w:qFormat/>
    <w:uiPriority w:val="0"/>
    <w:pPr>
      <w:spacing w:before="0" w:beforeLines="0" w:after="0" w:afterLines="0"/>
    </w:pPr>
    <w:rPr>
      <w:rFonts w:ascii="宋体" w:eastAsia="宋体"/>
    </w:rPr>
  </w:style>
  <w:style w:type="paragraph" w:customStyle="1" w:styleId="122">
    <w:name w:val="三级条标题"/>
    <w:basedOn w:val="123"/>
    <w:next w:val="119"/>
    <w:qFormat/>
    <w:uiPriority w:val="0"/>
    <w:pPr>
      <w:numPr>
        <w:ilvl w:val="4"/>
        <w:numId w:val="19"/>
      </w:numPr>
      <w:outlineLvl w:val="4"/>
    </w:pPr>
  </w:style>
  <w:style w:type="paragraph" w:customStyle="1" w:styleId="123">
    <w:name w:val="二级条标题"/>
    <w:basedOn w:val="124"/>
    <w:next w:val="119"/>
    <w:qFormat/>
    <w:uiPriority w:val="0"/>
    <w:pPr>
      <w:numPr>
        <w:ilvl w:val="2"/>
      </w:numPr>
      <w:spacing w:before="50" w:after="50"/>
      <w:outlineLvl w:val="3"/>
    </w:pPr>
  </w:style>
  <w:style w:type="paragraph" w:customStyle="1" w:styleId="124">
    <w:name w:val="一级条标题"/>
    <w:next w:val="119"/>
    <w:qFormat/>
    <w:uiPriority w:val="0"/>
    <w:pPr>
      <w:numPr>
        <w:ilvl w:val="1"/>
        <w:numId w:val="20"/>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46c696-d568-4df9-baa7-c3978d33d934}"/>
        <w:style w:val=""/>
        <w:category>
          <w:name w:val="常规"/>
          <w:gallery w:val="placeholder"/>
        </w:category>
        <w:types>
          <w:type w:val="bbPlcHdr"/>
        </w:types>
        <w:behaviors>
          <w:behavior w:val="content"/>
        </w:behaviors>
        <w:description w:val=""/>
        <w:guid w:val="{0c46c696-d568-4df9-baa7-c3978d33d934}"/>
      </w:docPartPr>
      <w:docPartBody>
        <w:p>
          <w:r>
            <w:rPr>
              <w:color w:val="808080"/>
            </w:rPr>
            <w:t>选择一项。</w:t>
          </w:r>
        </w:p>
      </w:docPartBody>
    </w:docPart>
    <w:docPart>
      <w:docPartPr>
        <w:name w:val="{4f5be9b3-0a15-4e14-bac1-022579143ed5}"/>
        <w:style w:val=""/>
        <w:category>
          <w:name w:val="常规"/>
          <w:gallery w:val="placeholder"/>
        </w:category>
        <w:types>
          <w:type w:val="bbPlcHdr"/>
        </w:types>
        <w:behaviors>
          <w:behavior w:val="content"/>
        </w:behaviors>
        <w:description w:val=""/>
        <w:guid w:val="{4f5be9b3-0a15-4e14-bac1-022579143ed5}"/>
      </w:docPartPr>
      <w:docPartBody>
        <w:p>
          <w:r>
            <w:rPr>
              <w:color w:val="808080"/>
            </w:rPr>
            <w:t>选择一项。</w:t>
          </w:r>
        </w:p>
      </w:docPartBody>
    </w:docPart>
    <w:docPart>
      <w:docPartPr>
        <w:name w:val="{56b588f5-8e2b-4ba8-b861-1dfde9382c54}"/>
        <w:style w:val=""/>
        <w:category>
          <w:name w:val="常规"/>
          <w:gallery w:val="placeholder"/>
        </w:category>
        <w:types>
          <w:type w:val="bbPlcHdr"/>
        </w:types>
        <w:behaviors>
          <w:behavior w:val="content"/>
        </w:behaviors>
        <w:description w:val=""/>
        <w:guid w:val="{56b588f5-8e2b-4ba8-b861-1dfde9382c5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2023-09-13T07:20:00Z</dcterms:created>
  <dc:creator>蔡明</dc:creator>
  <cp:lastModifiedBy>NTKO</cp:lastModifiedBy>
  <cp:lastPrinted>2023-09-15T01:06:00Z</cp:lastPrinted>
  <dcterms:modified xsi:type="dcterms:W3CDTF">2023-11-22T02:41:24Z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EEAA67A0F99048049B26E4EDEF61847F_13</vt:lpwstr>
  </property>
</Properties>
</file>