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h="1689" w:hRule="exact"/>
        <w:pBdr>
          <w:top w:val="none" w:color="auto" w:sz="0" w:space="0"/>
          <w:left w:val="none" w:color="auto" w:sz="0" w:space="0"/>
          <w:bottom w:val="none" w:color="auto" w:sz="0" w:space="0"/>
          <w:right w:val="none" w:color="auto" w:sz="0" w:space="0"/>
        </w:pBd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ICS</w:t>
      </w:r>
      <w:r>
        <w:rPr>
          <w:rFonts w:hint="eastAsia" w:ascii="黑体" w:hAnsi="黑体" w:eastAsia="黑体" w:cs="黑体"/>
          <w:kern w:val="2"/>
          <w:sz w:val="21"/>
          <w:szCs w:val="21"/>
          <w:lang w:val="en-US" w:eastAsia="zh-CN" w:bidi="ar-SA"/>
        </w:rPr>
        <w:t xml:space="preserve"> </w:t>
      </w:r>
      <w:r>
        <w:rPr>
          <w:rFonts w:hint="eastAsia" w:ascii="黑体" w:hAnsi="黑体" w:eastAsia="黑体" w:cs="黑体"/>
          <w:lang w:val="en-US" w:eastAsia="zh-CN"/>
        </w:rPr>
        <w:t>65.020.</w:t>
      </w:r>
      <w:r>
        <w:rPr>
          <w:rFonts w:hint="eastAsia" w:ascii="黑体" w:hAnsi="黑体" w:eastAsia="黑体" w:cs="黑体"/>
          <w:lang w:val="en-US" w:eastAsia="zh-CN"/>
        </w:rPr>
        <w:t>01</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8"/>
              <w:framePr w:h="1689" w:hRule="exact"/>
              <w:rPr>
                <w:rFonts w:hint="eastAsia" w:ascii="黑体" w:hAnsi="黑体" w:eastAsia="黑体" w:cs="黑体"/>
                <w:lang w:val="en-US" w:eastAsia="zh-CN"/>
              </w:rPr>
            </w:pPr>
            <w:r>
              <w:rPr>
                <w:rFonts w:hint="eastAsia" w:ascii="黑体" w:hAnsi="黑体" w:eastAsia="黑体" w:cs="黑体"/>
                <w:sz w:val="84"/>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299085</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B2105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pt;margin-top:23.55pt;height:61.9pt;width:467.6pt;z-index:251662336;mso-width-relative:page;mso-height-relative:page;" filled="f" stroked="f" coordsize="21600,21600" o:gfxdata="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YgTbdoAAAAIAQAADwAAAAAAAAABACAAAAA4AAAAZHJz&#10;L2Rvd25yZXYueG1sUEsBAhQAFAAAAAgAh07iQIXopXYlAgAAKgQAAA4AAAAAAAAAAQAgAAAAPwEA&#10;AGRycy9lMm9Eb2MueG1sUEsFBgAAAAAGAAYAWQEAANYFAAAAAA==&#10;">
                      <v:fill on="f" focussize="0,0"/>
                      <v:stroke on="f" weight="0.5pt"/>
                      <v:imagedata o:title=""/>
                      <o:lock v:ext="edit" aspectratio="f"/>
                      <v:textbox>
                        <w:txbxContent>
                          <w:p>
                            <w:pPr>
                              <w:jc w:val="right"/>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B2105</w:t>
                            </w:r>
                          </w:p>
                        </w:txbxContent>
                      </v:textbox>
                    </v:shape>
                  </w:pict>
                </mc:Fallback>
              </mc:AlternateContent>
            </w:r>
            <w:r>
              <w:rPr>
                <w:rFonts w:hint="eastAsia" w:ascii="黑体" w:hAnsi="黑体" w:eastAsia="黑体" w:cs="黑体"/>
                <w:kern w:val="2"/>
                <w:sz w:val="21"/>
                <w:szCs w:val="21"/>
                <w:lang w:val="en-US" w:eastAsia="zh-CN" w:bidi="ar-SA"/>
              </w:rPr>
              <w:t>CCS</w:t>
            </w:r>
            <w:r>
              <w:rPr>
                <w:rFonts w:hint="eastAsia" w:ascii="黑体" w:hAnsi="黑体" w:eastAsia="黑体" w:cs="黑体"/>
                <w:kern w:val="2"/>
                <w:sz w:val="21"/>
                <w:szCs w:val="21"/>
                <w:lang w:val="en-US" w:eastAsia="zh-CN" w:bidi="ar-SA"/>
              </w:rPr>
              <w:t xml:space="preserve"> </w:t>
            </w:r>
            <w:r>
              <w:rPr>
                <w:rFonts w:hint="eastAsia" w:ascii="黑体" w:hAnsi="黑体" w:eastAsia="黑体" w:cs="黑体"/>
                <w:lang w:val="en-US" w:eastAsia="zh-CN"/>
              </w:rPr>
              <w:t>B</w:t>
            </w:r>
            <w:r>
              <w:rPr>
                <w:rFonts w:hint="eastAsia" w:ascii="黑体" w:hAnsi="黑体" w:eastAsia="黑体" w:cs="黑体"/>
                <w:lang w:val="en-US" w:eastAsia="zh-CN"/>
              </w:rPr>
              <w:t xml:space="preserve"> 66</w:t>
            </w:r>
          </w:p>
        </w:tc>
      </w:tr>
    </w:tbl>
    <w:p>
      <w:pPr>
        <w:pStyle w:val="10"/>
        <w:jc w:val="center"/>
        <w:rPr>
          <w:rFonts w:hint="default"/>
          <w:lang w:val="en-US"/>
        </w:rPr>
      </w:pPr>
      <w:r>
        <w:rPr>
          <w:rFonts w:hint="eastAsia" w:ascii="黑体" w:hAnsi="黑体" w:eastAsia="黑体" w:cs="宋体"/>
          <w:color w:val="000000"/>
          <w:kern w:val="0"/>
          <w:sz w:val="52"/>
          <w:szCs w:val="52"/>
        </w:rPr>
        <w:t>地理标志产品</w:t>
      </w:r>
      <w:r>
        <w:rPr>
          <w:rFonts w:hint="eastAsia" w:ascii="黑体" w:hAnsi="宋体" w:eastAsia="黑体" w:cs="宋体"/>
          <w:color w:val="000000"/>
          <w:kern w:val="0"/>
          <w:sz w:val="52"/>
          <w:szCs w:val="52"/>
        </w:rPr>
        <w:t xml:space="preserve"> 桓仁大榛子</w:t>
      </w:r>
    </w:p>
    <w:p>
      <w:pPr>
        <w:pStyle w:val="11"/>
        <w:jc w:val="cente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4"/>
              <w:jc w:val="center"/>
            </w:pPr>
            <w:r>
              <w:rPr>
                <w:rFonts w:hint="eastAsia"/>
                <w:lang w:eastAsia="zh-CN"/>
              </w:rPr>
              <w:t>报批</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4"/>
              <w:jc w:val="center"/>
              <w:rPr>
                <w:rFonts w:hint="eastAsia"/>
              </w:rPr>
            </w:pPr>
          </w:p>
        </w:tc>
      </w:tr>
    </w:tbl>
    <w:p>
      <w:pPr>
        <w:pStyle w:val="15"/>
      </w:pPr>
      <w:r>
        <w:rPr>
          <w:rFonts w:hint="eastAsia" w:ascii="黑体"/>
          <w:lang w:val="en-US" w:eastAsia="zh-CN"/>
        </w:rPr>
        <w:t>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YdrPNYAAAALAQAADwAAAAAAAAABACAAAAA4AAAAZHJzL2Rvd25yZXYueG1sUEsBAhQAFAAA&#10;AAgAh07iQM7R4YfbAQAAmQMAAA4AAAAAAAAAAQAgAAAAOwEAAGRycy9lMm9Eb2MueG1sUEsFBgAA&#10;AAAGAAYAWQEAAIgFAAAAAA==&#10;">
                <v:fill on="f" focussize="0,0"/>
                <v:stroke color="#000000" joinstyle="round"/>
                <v:imagedata o:title=""/>
                <o:lock v:ext="edit" aspectratio="f"/>
                <w10:anchorlock/>
              </v:line>
            </w:pict>
          </mc:Fallback>
        </mc:AlternateContent>
      </w:r>
    </w:p>
    <w:p>
      <w:pPr>
        <w:pStyle w:val="17"/>
        <w:jc w:val="right"/>
      </w:pPr>
      <w:r>
        <w:rPr>
          <w:rFonts w:hint="eastAsia" w:ascii="黑体"/>
          <w:lang w:val="en-US" w:eastAsia="zh-CN"/>
        </w:rPr>
        <w:t xml:space="preserve">           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24"/>
        <w:framePr w:x="1959" w:y="3445"/>
        <w:wordWrap w:val="0"/>
        <w:rPr>
          <w:rFonts w:hint="eastAsia" w:ascii="黑体" w:hAnsi="黑体" w:eastAsia="黑体" w:cs="黑体"/>
          <w:lang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xxx</w:t>
      </w:r>
      <w:r>
        <w:rPr>
          <w:rFonts w:hint="eastAsia" w:ascii="黑体" w:hAnsi="黑体" w:eastAsia="黑体" w:cs="黑体"/>
        </w:rPr>
        <w:t>—</w:t>
      </w:r>
      <w:bookmarkStart w:id="0" w:name="StdNo2"/>
      <w:r>
        <w:rPr>
          <w:rFonts w:hint="eastAsia" w:ascii="黑体" w:hAnsi="黑体" w:eastAsia="黑体" w:cs="黑体"/>
        </w:rPr>
        <w:t>20</w:t>
      </w:r>
      <w:bookmarkEnd w:id="0"/>
      <w:r>
        <w:rPr>
          <w:rFonts w:hint="eastAsia" w:ascii="黑体" w:hAnsi="黑体" w:eastAsia="黑体" w:cs="黑体"/>
        </w:rPr>
        <w:t>2</w:t>
      </w:r>
      <w:r>
        <w:rPr>
          <w:rFonts w:hint="eastAsia" w:hAnsi="黑体" w:cs="黑体"/>
          <w:lang w:val="en-US" w:eastAsia="zh-CN"/>
        </w:rPr>
        <w:t>2</w:t>
      </w:r>
    </w:p>
    <w:p>
      <w:pPr>
        <w:pStyle w:val="19"/>
        <w:framePr w:h="584" w:hRule="exact" w:hSpace="181" w:y="15027"/>
        <w:rPr>
          <w:rFonts w:hAnsi="黑体"/>
        </w:rPr>
      </w:pPr>
      <w:r>
        <w:rPr>
          <w:rFonts w:hint="eastAsia" w:hAnsi="黑体"/>
          <w:w w:val="100"/>
          <w:sz w:val="28"/>
          <w:lang w:val="en-US" w:eastAsia="zh-CN"/>
        </w:rPr>
        <w:t>本溪市</w:t>
      </w:r>
      <w:r>
        <w:rPr>
          <w:rFonts w:hint="eastAsia" w:hAnsi="黑体"/>
          <w:w w:val="100"/>
          <w:sz w:val="28"/>
        </w:rPr>
        <w:t>市场监督管理局</w:t>
      </w:r>
      <w:r>
        <w:rPr>
          <w:rFonts w:ascii="Times New Roman"/>
          <w:w w:val="100"/>
          <w:sz w:val="28"/>
        </w:rPr>
        <w:t>  </w:t>
      </w:r>
      <w:r>
        <w:rPr>
          <w:rStyle w:val="23"/>
          <w:rFonts w:hint="eastAsia" w:hAnsi="黑体"/>
          <w:position w:val="0"/>
        </w:rPr>
        <w:t>发</w:t>
      </w:r>
      <w:r>
        <w:rPr>
          <w:rStyle w:val="23"/>
          <w:rFonts w:hint="eastAsia" w:hAnsi="黑体"/>
          <w:spacing w:val="0"/>
          <w:position w:val="0"/>
        </w:rPr>
        <w:t>布</w:t>
      </w:r>
    </w:p>
    <w:p>
      <w:pPr>
        <w:pStyle w:val="9"/>
        <w:framePr w:w="8903" w:x="1753" w:y="1261"/>
        <w:rPr>
          <w:rFonts w:hint="default"/>
          <w:sz w:val="100"/>
          <w:szCs w:val="100"/>
          <w:lang w:val="en-US" w:eastAsia="zh-CN"/>
        </w:rPr>
      </w:pPr>
      <w:r>
        <w:rPr>
          <w:rFonts w:hint="eastAsia"/>
          <w:sz w:val="100"/>
          <w:szCs w:val="100"/>
          <w:lang w:val="en-US" w:eastAsia="zh-CN"/>
        </w:rPr>
        <w:t xml:space="preserve">        </w:t>
      </w:r>
    </w:p>
    <w:p>
      <w:pPr>
        <w:pStyle w:val="9"/>
        <w:framePr w:w="8903" w:x="1753" w:y="1261"/>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1219200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55pt;margin-top:96pt;height:0pt;width:481.9pt;z-index:251661312;mso-width-relative:page;mso-height-relative:page;" filled="f" stroked="t" coordsize="21600,21600" o:gfxdata="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yZSK1wAAAAsBAAAPAAAAAAAAAAEAIAAAADgAAABkcnMvZG93bnJldi54bWxQSwECFAAU&#10;AAAACACHTuJAyQ/TVtwBAACZAwAADgAAAAAAAAABACAAAAA8AQAAZHJzL2Uyb0RvYy54bWxQSwUG&#10;AAAAAAYABgBZAQAAigUAAAAA&#10;">
                <v:fill on="f" focussize="0,0"/>
                <v:stroke color="#000000" joinstyle="round"/>
                <v:imagedata o:title=""/>
                <o:lock v:ext="edit" aspectratio="f"/>
              </v:line>
            </w:pict>
          </mc:Fallback>
        </mc:AlternateContent>
      </w:r>
      <w:r>
        <w:rPr>
          <w:rFonts w:hint="eastAsia"/>
          <w:sz w:val="72"/>
          <w:szCs w:val="72"/>
          <w:lang w:eastAsia="zh-CN"/>
        </w:rPr>
        <w:t>本溪市地方标准</w:t>
      </w:r>
    </w:p>
    <w:p>
      <w:pPr>
        <w:pStyle w:val="21"/>
        <w:ind w:firstLine="42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前</w:t>
      </w:r>
      <w:r>
        <w:rPr>
          <w:rFonts w:hint="eastAsia" w:ascii="黑体" w:hAnsi="黑体" w:eastAsia="黑体" w:cs="黑体"/>
          <w:sz w:val="32"/>
          <w:szCs w:val="32"/>
          <w:lang w:val="en-US" w:eastAsia="zh-CN"/>
        </w:rPr>
        <w:t xml:space="preserve"> </w:t>
      </w:r>
      <w:bookmarkStart w:id="39" w:name="_GoBack"/>
      <w:bookmarkEnd w:id="39"/>
      <w:r>
        <w:rPr>
          <w:rFonts w:hint="eastAsia" w:ascii="黑体" w:hAnsi="黑体" w:eastAsia="黑体" w:cs="黑体"/>
          <w:sz w:val="32"/>
          <w:szCs w:val="32"/>
          <w:lang w:eastAsia="zh-CN"/>
        </w:rPr>
        <w:t>言</w:t>
      </w:r>
    </w:p>
    <w:p>
      <w:pPr>
        <w:pStyle w:val="21"/>
        <w:ind w:firstLine="420"/>
        <w:rPr>
          <w:rFonts w:hint="eastAsia"/>
        </w:rPr>
      </w:pPr>
    </w:p>
    <w:p>
      <w:pPr>
        <w:pStyle w:val="21"/>
        <w:ind w:firstLine="420"/>
        <w:rPr>
          <w:rFonts w:hint="eastAsia"/>
        </w:rPr>
      </w:pPr>
      <w:r>
        <w:rPr>
          <w:rFonts w:hint="eastAsia"/>
        </w:rPr>
        <w:t>本文件按照GB/T 1.1—2020《标准化工作导则</w:t>
      </w:r>
      <w:r>
        <w:rPr>
          <w:rFonts w:hint="eastAsia"/>
          <w:lang w:val="en-US" w:eastAsia="zh-CN"/>
        </w:rPr>
        <w:t xml:space="preserve"> </w:t>
      </w:r>
      <w:r>
        <w:rPr>
          <w:rFonts w:hint="eastAsia"/>
        </w:rPr>
        <w:t>第1部分：标准化文件的结构和起草规则》的规定起草。</w:t>
      </w:r>
    </w:p>
    <w:p>
      <w:pPr>
        <w:pStyle w:val="22"/>
        <w:rPr>
          <w:rFonts w:hint="eastAsia" w:eastAsia="宋体"/>
          <w:color w:val="000000"/>
          <w:sz w:val="21"/>
          <w:szCs w:val="21"/>
          <w:lang w:eastAsia="zh-CN"/>
        </w:rPr>
      </w:pPr>
      <w:r>
        <w:rPr>
          <w:rFonts w:hint="eastAsia"/>
        </w:rPr>
        <w:t>本</w:t>
      </w:r>
      <w:r>
        <w:rPr>
          <w:rFonts w:hint="eastAsia"/>
          <w:lang w:eastAsia="zh-CN"/>
        </w:rPr>
        <w:t>文件</w:t>
      </w:r>
      <w:r>
        <w:rPr>
          <w:rFonts w:hint="eastAsia"/>
        </w:rPr>
        <w:t>根据</w:t>
      </w:r>
      <w:r>
        <w:rPr>
          <w:rFonts w:hint="eastAsia"/>
          <w:color w:val="000000"/>
          <w:sz w:val="21"/>
          <w:szCs w:val="21"/>
        </w:rPr>
        <w:t>GB</w:t>
      </w:r>
      <w:r>
        <w:rPr>
          <w:rFonts w:hint="eastAsia"/>
          <w:color w:val="000000"/>
          <w:sz w:val="21"/>
          <w:szCs w:val="21"/>
          <w:lang w:val="en-US" w:eastAsia="zh-CN"/>
        </w:rPr>
        <w:t xml:space="preserve">/T </w:t>
      </w:r>
      <w:r>
        <w:rPr>
          <w:rFonts w:hint="eastAsia"/>
          <w:color w:val="000000"/>
          <w:sz w:val="21"/>
          <w:szCs w:val="21"/>
        </w:rPr>
        <w:t>17924-</w:t>
      </w:r>
      <w:r>
        <w:rPr>
          <w:rFonts w:hint="eastAsia"/>
          <w:color w:val="000000"/>
          <w:sz w:val="21"/>
          <w:szCs w:val="21"/>
          <w:lang w:val="en-US" w:eastAsia="zh-CN"/>
        </w:rPr>
        <w:t>2008</w:t>
      </w:r>
      <w:r>
        <w:rPr>
          <w:rFonts w:hint="eastAsia"/>
          <w:color w:val="000000"/>
          <w:sz w:val="21"/>
          <w:szCs w:val="21"/>
        </w:rPr>
        <w:t>《</w:t>
      </w:r>
      <w:r>
        <w:rPr>
          <w:rFonts w:ascii="Verdana" w:hAnsi="Verdana" w:eastAsia="宋体" w:cs="Verdana"/>
          <w:i w:val="0"/>
          <w:iCs w:val="0"/>
          <w:caps w:val="0"/>
          <w:color w:val="000000"/>
          <w:spacing w:val="0"/>
          <w:sz w:val="21"/>
          <w:szCs w:val="21"/>
          <w:shd w:val="clear" w:color="auto" w:fill="FFFFFF"/>
        </w:rPr>
        <w:t>地理标志产品 标准通用要求</w:t>
      </w:r>
      <w:r>
        <w:rPr>
          <w:rFonts w:hint="eastAsia"/>
          <w:color w:val="000000"/>
          <w:sz w:val="21"/>
          <w:szCs w:val="21"/>
        </w:rPr>
        <w:t>》</w:t>
      </w:r>
      <w:r>
        <w:rPr>
          <w:rFonts w:hint="eastAsia"/>
          <w:color w:val="000000"/>
          <w:sz w:val="21"/>
          <w:szCs w:val="21"/>
          <w:lang w:eastAsia="zh-CN"/>
        </w:rPr>
        <w:t>及原</w:t>
      </w:r>
      <w:r>
        <w:rPr>
          <w:rFonts w:hint="eastAsia"/>
        </w:rPr>
        <w:t>国</w:t>
      </w:r>
      <w:r>
        <w:rPr>
          <w:rFonts w:hint="eastAsia"/>
          <w:color w:val="000000"/>
          <w:sz w:val="21"/>
          <w:szCs w:val="21"/>
        </w:rPr>
        <w:t>家质量监督</w:t>
      </w:r>
      <w:r>
        <w:rPr>
          <w:rFonts w:hint="eastAsia"/>
          <w:color w:val="000000"/>
          <w:sz w:val="21"/>
          <w:szCs w:val="21"/>
          <w:lang w:eastAsia="zh-CN"/>
        </w:rPr>
        <w:t>检验</w:t>
      </w:r>
      <w:r>
        <w:rPr>
          <w:rFonts w:hint="eastAsia"/>
          <w:color w:val="000000"/>
          <w:sz w:val="21"/>
          <w:szCs w:val="21"/>
        </w:rPr>
        <w:t>检疫总局颁布的《地理标志产品保护规定》制定</w:t>
      </w:r>
      <w:r>
        <w:rPr>
          <w:rFonts w:hint="eastAsia"/>
          <w:color w:val="000000"/>
          <w:sz w:val="21"/>
          <w:szCs w:val="21"/>
          <w:lang w:eastAsia="zh-CN"/>
        </w:rPr>
        <w:t>。</w:t>
      </w:r>
    </w:p>
    <w:p>
      <w:pPr>
        <w:pStyle w:val="21"/>
        <w:ind w:firstLine="420"/>
      </w:pPr>
      <w:r>
        <w:rPr>
          <w:rFonts w:hint="eastAsia"/>
        </w:rPr>
        <w:t>请注意本文件的某些内容可能涉及专利。本文件的发布机构不承担识别专利的责任。</w:t>
      </w:r>
    </w:p>
    <w:p>
      <w:pPr>
        <w:pStyle w:val="22"/>
        <w:ind w:firstLine="409" w:firstLineChars="195"/>
      </w:pPr>
      <w:r>
        <w:rPr>
          <w:rFonts w:hint="eastAsia"/>
        </w:rPr>
        <w:t>本文件由本溪市林业和草原局提出并归口。</w:t>
      </w:r>
    </w:p>
    <w:p>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负责起草单位：桓仁满族自治县检验检测服务中心、桓仁满族自治县重点产业发展服务中心、</w:t>
      </w:r>
      <w:r>
        <w:rPr>
          <w:rFonts w:hint="eastAsia"/>
        </w:rPr>
        <w:t>辽宁晟宇检验检测有限公司</w:t>
      </w:r>
      <w:r>
        <w:rPr>
          <w:rFonts w:hint="eastAsia"/>
          <w:lang w:eastAsia="zh-CN"/>
        </w:rPr>
        <w:t>（</w:t>
      </w:r>
      <w:r>
        <w:rPr>
          <w:rFonts w:hint="eastAsia"/>
        </w:rPr>
        <w:t>辽宁省冰葡萄酒</w:t>
      </w:r>
      <w:r>
        <w:rPr>
          <w:rFonts w:hint="eastAsia"/>
          <w:lang w:eastAsia="zh-CN"/>
        </w:rPr>
        <w:t>产品质量检验中心</w:t>
      </w:r>
      <w:r>
        <w:rPr>
          <w:rFonts w:hint="eastAsia"/>
        </w:rPr>
        <w:t>、</w:t>
      </w:r>
      <w:r>
        <w:rPr>
          <w:rFonts w:hint="eastAsia"/>
          <w:lang w:eastAsia="zh-CN"/>
        </w:rPr>
        <w:t>参茸产品质量检验中心）</w:t>
      </w:r>
      <w:r>
        <w:rPr>
          <w:rFonts w:hint="eastAsia"/>
          <w:color w:val="000000" w:themeColor="text1"/>
          <w14:textFill>
            <w14:solidFill>
              <w14:schemeClr w14:val="tx1"/>
            </w14:solidFill>
          </w14:textFill>
        </w:rPr>
        <w:t>、桓仁众诚生态农业有限公司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桓仁富民果业专业合作社。</w:t>
      </w:r>
    </w:p>
    <w:p>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rPr>
        <w:t>文件</w:t>
      </w:r>
      <w:r>
        <w:rPr>
          <w:rFonts w:hint="eastAsia"/>
          <w:color w:val="000000" w:themeColor="text1"/>
          <w14:textFill>
            <w14:solidFill>
              <w14:schemeClr w14:val="tx1"/>
            </w14:solidFill>
          </w14:textFill>
        </w:rPr>
        <w:t>主要起草人：樊琳琳、刘畅、裴立楠、李英建、王鑫、金洪艳、刘艳华、杜宜男、王崴、原庆贺、孙诗涵、王旭、王平、温秋香、刘仁广、毛丹、孙志刚、匡阳甫、李昱、冯喆</w:t>
      </w:r>
      <w:r>
        <w:rPr>
          <w:rFonts w:hint="eastAsia"/>
          <w:color w:val="000000" w:themeColor="text1"/>
          <w:lang w:eastAsia="zh-CN"/>
          <w14:textFill>
            <w14:solidFill>
              <w14:schemeClr w14:val="tx1"/>
            </w14:solidFill>
          </w14:textFill>
        </w:rPr>
        <w:t>、孙巍、陈晨</w:t>
      </w:r>
      <w:r>
        <w:rPr>
          <w:rFonts w:hint="eastAsia"/>
          <w:color w:val="000000" w:themeColor="text1"/>
          <w14:textFill>
            <w14:solidFill>
              <w14:schemeClr w14:val="tx1"/>
            </w14:solidFill>
          </w14:textFill>
        </w:rPr>
        <w:t>。</w:t>
      </w:r>
    </w:p>
    <w:p>
      <w:pPr>
        <w:pStyle w:val="22"/>
        <w:rPr>
          <w:color w:val="000000"/>
        </w:rPr>
      </w:pPr>
      <w:r>
        <w:rPr>
          <w:rFonts w:hint="eastAsia"/>
          <w:color w:val="000000"/>
        </w:rPr>
        <w:t>本文件发布实施后，任何单位和个人如有问题和意见建议，均可以通过来电和来函等方式进行反馈，我们将及时答复并认真处理，根据实际情况依法进行评估及复审。</w:t>
      </w:r>
    </w:p>
    <w:p>
      <w:pPr>
        <w:pStyle w:val="22"/>
        <w:rPr>
          <w:rFonts w:hint="eastAsia"/>
          <w:color w:val="000000"/>
        </w:rPr>
      </w:pPr>
      <w:r>
        <w:rPr>
          <w:rFonts w:hint="eastAsia"/>
          <w:color w:val="000000"/>
        </w:rPr>
        <w:t>归口管理部门通讯地址：</w:t>
      </w:r>
      <w:r>
        <w:rPr>
          <w:rFonts w:hint="eastAsia"/>
        </w:rPr>
        <w:t>本溪市林业和草原局（本溪市平山区人民路31号），联系电话：</w:t>
      </w:r>
      <w:r>
        <w:rPr>
          <w:rFonts w:hint="eastAsia"/>
          <w:color w:val="000000"/>
        </w:rPr>
        <w:t xml:space="preserve"> 024-43560102。</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起草部门联系方式：桓仁满族自治县检验检测服务中心（桓仁满族自治县五女山路46号），联系电话：024-48823443。</w:t>
      </w:r>
    </w:p>
    <w:p>
      <w:pPr>
        <w:rPr>
          <w:rFonts w:hint="eastAsia" w:eastAsia="黑体"/>
          <w:sz w:val="32"/>
          <w:szCs w:val="32"/>
          <w:lang w:eastAsia="zh-CN"/>
        </w:rPr>
      </w:pPr>
      <w:r>
        <w:rPr>
          <w:rFonts w:hint="eastAsia" w:eastAsia="黑体"/>
          <w:sz w:val="32"/>
          <w:szCs w:val="32"/>
          <w:lang w:eastAsia="zh-CN"/>
        </w:rPr>
        <w:br w:type="page"/>
      </w:r>
    </w:p>
    <w:p>
      <w:pPr>
        <w:pStyle w:val="22"/>
        <w:keepNext w:val="0"/>
        <w:keepLines w:val="0"/>
        <w:pageBreakBefore w:val="0"/>
        <w:widowControl/>
        <w:kinsoku/>
        <w:wordWrap/>
        <w:overflowPunct/>
        <w:topLinePunct w:val="0"/>
        <w:autoSpaceDE w:val="0"/>
        <w:autoSpaceDN w:val="0"/>
        <w:bidi w:val="0"/>
        <w:adjustRightInd/>
        <w:snapToGrid/>
        <w:spacing w:before="313" w:beforeLines="100" w:after="687" w:afterLines="220" w:line="400" w:lineRule="exact"/>
        <w:ind w:left="0" w:leftChars="0" w:firstLine="0" w:firstLineChars="0"/>
        <w:jc w:val="center"/>
        <w:textAlignment w:val="auto"/>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地理标志产品 桓仁大榛子</w:t>
      </w:r>
      <w:r>
        <w:rPr>
          <w:rFonts w:hint="eastAsia" w:ascii="黑体" w:hAnsi="黑体" w:eastAsia="黑体" w:cs="Times New Roman"/>
          <w:kern w:val="2"/>
          <w:sz w:val="32"/>
          <w:szCs w:val="32"/>
          <w:lang w:val="en-US" w:eastAsia="zh-CN" w:bidi="ar-SA"/>
        </w:rPr>
        <w:tab/>
      </w: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rPr>
      </w:pPr>
      <w:bookmarkStart w:id="1" w:name="_Toc75855894"/>
      <w:bookmarkStart w:id="2" w:name="_Toc72853264"/>
      <w:bookmarkStart w:id="3" w:name="_Toc7791"/>
      <w:bookmarkStart w:id="4" w:name="_Toc75855931"/>
      <w:bookmarkStart w:id="5" w:name="_Toc75855832"/>
      <w:bookmarkStart w:id="6" w:name="_Toc79493339"/>
      <w:r>
        <w:rPr>
          <w:rFonts w:hint="eastAsia"/>
          <w:lang w:val="en-US" w:eastAsia="zh-CN"/>
        </w:rPr>
        <w:t xml:space="preserve">1  </w:t>
      </w:r>
      <w:r>
        <w:rPr>
          <w:rFonts w:hint="eastAsia"/>
        </w:rPr>
        <w:t>范围</w:t>
      </w:r>
      <w:bookmarkEnd w:id="1"/>
      <w:bookmarkEnd w:id="2"/>
      <w:bookmarkEnd w:id="3"/>
      <w:bookmarkEnd w:id="4"/>
      <w:bookmarkEnd w:id="5"/>
      <w:bookmarkEnd w:id="6"/>
    </w:p>
    <w:p>
      <w:pPr>
        <w:pStyle w:val="22"/>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rPr>
      </w:pPr>
      <w:r>
        <w:rPr>
          <w:rFonts w:hint="eastAsia"/>
        </w:rPr>
        <w:t>本文件规定了地理标志产品</w:t>
      </w:r>
      <w:r>
        <w:rPr>
          <w:rFonts w:hint="eastAsia"/>
          <w:lang w:val="en-US" w:eastAsia="zh-CN"/>
        </w:rPr>
        <w:t xml:space="preserve"> </w:t>
      </w:r>
      <w:r>
        <w:rPr>
          <w:rFonts w:hint="eastAsia"/>
        </w:rPr>
        <w:t>桓仁大榛子的术语和定义、地理标志产品保护范围、要求</w:t>
      </w:r>
      <w:r>
        <w:rPr>
          <w:rFonts w:hint="eastAsia"/>
          <w:lang w:eastAsia="zh-CN"/>
        </w:rPr>
        <w:t>、</w:t>
      </w:r>
      <w:r>
        <w:rPr>
          <w:rFonts w:hint="eastAsia"/>
        </w:rPr>
        <w:t>检验方法、检验规则及标志、包装、运输、贮存。</w:t>
      </w:r>
    </w:p>
    <w:p>
      <w:pPr>
        <w:pStyle w:val="22"/>
        <w:keepNext w:val="0"/>
        <w:keepLines w:val="0"/>
        <w:pageBreakBefore w:val="0"/>
        <w:widowControl/>
        <w:kinsoku/>
        <w:wordWrap/>
        <w:overflowPunct/>
        <w:topLinePunct w:val="0"/>
        <w:bidi w:val="0"/>
        <w:adjustRightInd/>
        <w:snapToGrid/>
        <w:textAlignment w:val="auto"/>
        <w:rPr>
          <w:rFonts w:hint="eastAsia" w:ascii="宋体" w:hAnsi="宋体"/>
        </w:rPr>
      </w:pPr>
      <w:r>
        <w:rPr>
          <w:rFonts w:hint="eastAsia" w:ascii="宋体" w:hAnsi="宋体"/>
        </w:rPr>
        <w:t>本</w:t>
      </w:r>
      <w:r>
        <w:rPr>
          <w:rFonts w:hint="eastAsia"/>
        </w:rPr>
        <w:t>文件</w:t>
      </w:r>
      <w:r>
        <w:rPr>
          <w:rFonts w:hint="eastAsia" w:ascii="宋体" w:hAnsi="宋体"/>
        </w:rPr>
        <w:t>适用于</w:t>
      </w:r>
      <w:r>
        <w:rPr>
          <w:rFonts w:hint="eastAsia" w:hAnsi="宋体"/>
          <w:lang w:eastAsia="zh-CN"/>
        </w:rPr>
        <w:t>原</w:t>
      </w:r>
      <w:r>
        <w:rPr>
          <w:rFonts w:hint="eastAsia" w:ascii="宋体" w:hAnsi="宋体"/>
        </w:rPr>
        <w:t>国家质量监督检验检疫总局</w:t>
      </w:r>
      <w:r>
        <w:rPr>
          <w:rFonts w:hint="eastAsia" w:hAnsi="宋体"/>
          <w:lang w:val="en-US" w:eastAsia="zh-CN"/>
        </w:rPr>
        <w:t>2009年第127号公告</w:t>
      </w:r>
      <w:r>
        <w:rPr>
          <w:rFonts w:hint="eastAsia" w:ascii="宋体" w:hAnsi="宋体"/>
        </w:rPr>
        <w:t>批准保护的桓仁大榛子。</w:t>
      </w: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pPr>
      <w:bookmarkStart w:id="7" w:name="_Toc13891"/>
      <w:bookmarkStart w:id="8" w:name="_Toc75855932"/>
      <w:bookmarkStart w:id="9" w:name="_Toc75855833"/>
      <w:bookmarkStart w:id="10" w:name="_Toc79493340"/>
      <w:bookmarkStart w:id="11" w:name="_Toc72853265"/>
      <w:bookmarkStart w:id="12" w:name="_Toc75855895"/>
      <w:r>
        <w:rPr>
          <w:rFonts w:hint="eastAsia"/>
          <w:lang w:val="en-US" w:eastAsia="zh-CN"/>
        </w:rPr>
        <w:t xml:space="preserve">2  </w:t>
      </w:r>
      <w:r>
        <w:rPr>
          <w:rFonts w:hint="eastAsia"/>
        </w:rPr>
        <w:t>规范性引用文件</w:t>
      </w:r>
      <w:bookmarkEnd w:id="7"/>
      <w:bookmarkEnd w:id="8"/>
      <w:bookmarkEnd w:id="9"/>
      <w:bookmarkEnd w:id="10"/>
      <w:bookmarkEnd w:id="11"/>
      <w:bookmarkEnd w:id="12"/>
    </w:p>
    <w:p>
      <w:pPr>
        <w:pStyle w:val="22"/>
        <w:keepNext w:val="0"/>
        <w:keepLines w:val="0"/>
        <w:pageBreakBefore w:val="0"/>
        <w:widowControl/>
        <w:kinsoku/>
        <w:wordWrap/>
        <w:overflowPunct/>
        <w:topLinePunct w:val="0"/>
        <w:bidi w:val="0"/>
        <w:adjustRightInd/>
        <w:snapToGrid/>
        <w:textAlignment w:val="auto"/>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22"/>
        <w:keepNext w:val="0"/>
        <w:keepLines w:val="0"/>
        <w:pageBreakBefore w:val="0"/>
        <w:widowControl/>
        <w:kinsoku/>
        <w:wordWrap/>
        <w:overflowPunct/>
        <w:topLinePunct w:val="0"/>
        <w:bidi w:val="0"/>
        <w:adjustRightInd/>
        <w:snapToGrid/>
        <w:spacing w:line="400" w:lineRule="exact"/>
        <w:textAlignment w:val="auto"/>
        <w:rPr>
          <w:rFonts w:hint="default" w:ascii="Times New Roman" w:hAnsi="Times New Roman" w:cs="Times New Roman"/>
          <w:color w:val="000000" w:themeColor="text1"/>
          <w14:textFill>
            <w14:solidFill>
              <w14:schemeClr w14:val="tx1"/>
            </w14:solidFill>
          </w14:textFill>
        </w:rPr>
      </w:pPr>
      <w:bookmarkStart w:id="13" w:name="_Toc75855834"/>
      <w:bookmarkStart w:id="14" w:name="_Toc79493341"/>
      <w:bookmarkStart w:id="15" w:name="_Toc72853266"/>
      <w:bookmarkStart w:id="16" w:name="_Toc75855896"/>
      <w:bookmarkStart w:id="17" w:name="_Toc75855933"/>
      <w:r>
        <w:rPr>
          <w:rFonts w:hint="eastAsia" w:asciiTheme="minorEastAsia" w:hAnsiTheme="minorEastAsia" w:eastAsiaTheme="minorEastAsia" w:cstheme="minorEastAsia"/>
          <w:kern w:val="2"/>
          <w:sz w:val="21"/>
          <w:szCs w:val="21"/>
        </w:rPr>
        <w:t xml:space="preserve">GB/T 191 </w:t>
      </w:r>
      <w:r>
        <w:rPr>
          <w:rFonts w:hint="default" w:ascii="Times New Roman" w:hAnsi="Times New Roman" w:cs="Times New Roman"/>
          <w:color w:val="000000" w:themeColor="text1"/>
          <w14:textFill>
            <w14:solidFill>
              <w14:schemeClr w14:val="tx1"/>
            </w14:solidFill>
          </w14:textFill>
        </w:rPr>
        <w:t>包装储运图示标志</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2760 食品安全国家标准 食品添加剂使用标准</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2761 食品安全国家标准 食品中真菌毒素限量</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GB 2762 食品安全国家标准 食品中污染物限量（含第1号修改单）</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GB 2763 食品安全国家标准 食品中农药最大残留限量</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GB 4789.1 食品安全国家标准 食品微生物学检验 总则</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4789.3 食品安全国家标准 食品微生物学检验 大肠菌群计数</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4789.15 食品安全国家标准 食品微生物学检验 霉菌和酵母计数</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4806.7 食品安全国家标准 食品接触用塑料材料及制品</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5009.3 食品安全国家标准  食品中水分的测定</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5009.5 食品安全国家标准  食品中蛋白质的测定</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5009.6 食品安全国家标准食品中脂肪的测定</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GB 5009.</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 xml:space="preserve">227 </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食品安全国家标准 食品中过氧化值的测定</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GB 5009.</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 xml:space="preserve">229 </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食品安全国家标准 食品中酸价的测定</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GB/T 6543 运输包装用单瓦楞纸箱和双瓦楞纸箱</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7718 食品安全国家标准  预包装食品标签通则</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14881 食品安全国家标准 食品生产通用卫生规范</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 xml:space="preserve">GB/T </w:t>
      </w:r>
      <w:r>
        <w:rPr>
          <w:rFonts w:hint="eastAsia" w:asciiTheme="minorEastAsia" w:hAnsiTheme="minorEastAsia" w:eastAsiaTheme="minorEastAsia" w:cstheme="minorEastAsia"/>
          <w:kern w:val="2"/>
          <w:sz w:val="21"/>
          <w:szCs w:val="21"/>
          <w:lang w:val="en-US" w:eastAsia="zh-CN"/>
        </w:rPr>
        <w:t>22165</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kern w:val="2"/>
          <w:sz w:val="21"/>
          <w:szCs w:val="21"/>
          <w:lang w:eastAsia="zh-CN"/>
        </w:rPr>
        <w:t>坚果炒货食品通则</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28050 食品安全国家标准  预包装食品营养标签通则</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29921 食品安全国家标准 预包装食品中致病菌限量</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JJF 1070  定量包装商品净含量计量检验规则</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LY/T 1650 榛子坚果平榛、平欧杂种榛</w:t>
      </w:r>
    </w:p>
    <w:p>
      <w:pPr>
        <w:pStyle w:val="40"/>
        <w:keepNext w:val="0"/>
        <w:keepLines w:val="0"/>
        <w:pageBreakBefore w:val="0"/>
        <w:widowControl/>
        <w:kinsoku/>
        <w:wordWrap/>
        <w:overflowPunct/>
        <w:topLinePunct w:val="0"/>
        <w:autoSpaceDE/>
        <w:autoSpaceDN/>
        <w:bidi w:val="0"/>
        <w:adjustRightInd/>
        <w:snapToGrid/>
        <w:spacing w:before="0" w:beforeLines="0" w:after="0"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DB2105/T XXX-2022 </w:t>
      </w:r>
      <w:r>
        <w:rPr>
          <w:rFonts w:hint="eastAsia" w:asciiTheme="minorEastAsia" w:hAnsiTheme="minorEastAsia" w:eastAsiaTheme="minorEastAsia" w:cstheme="minorEastAsia"/>
          <w:color w:val="000000"/>
          <w:sz w:val="21"/>
          <w:szCs w:val="21"/>
        </w:rPr>
        <w:t>地理标志产品 桓仁大榛子果品质量分级规范</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rPr>
      </w:pPr>
      <w:r>
        <w:rPr>
          <w:rFonts w:hint="eastAsia"/>
        </w:rPr>
        <w:t>国家质量监督检验检疫总局[2005]第75号《定量包装商品计量监督管理办法》</w:t>
      </w:r>
    </w:p>
    <w:p>
      <w:pPr>
        <w:pStyle w:val="22"/>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rPr>
      </w:pP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rPr>
      </w:pPr>
      <w:bookmarkStart w:id="18" w:name="_Toc19874"/>
      <w:r>
        <w:rPr>
          <w:rFonts w:hint="eastAsia" w:hAnsi="黑体" w:cs="黑体"/>
          <w:lang w:val="en-US" w:eastAsia="zh-CN"/>
        </w:rPr>
        <w:t xml:space="preserve">3  </w:t>
      </w:r>
      <w:r>
        <w:rPr>
          <w:rFonts w:hint="eastAsia" w:ascii="黑体" w:hAnsi="黑体" w:eastAsia="黑体" w:cs="黑体"/>
        </w:rPr>
        <w:t>术语和定义</w:t>
      </w:r>
      <w:bookmarkEnd w:id="13"/>
      <w:bookmarkEnd w:id="14"/>
      <w:bookmarkEnd w:id="15"/>
      <w:bookmarkEnd w:id="16"/>
      <w:bookmarkEnd w:id="17"/>
      <w:bookmarkEnd w:id="18"/>
      <w:r>
        <w:rPr>
          <w:rFonts w:ascii="宋体" w:eastAsia="宋体"/>
        </w:rPr>
        <w:tab/>
      </w:r>
    </w:p>
    <w:p>
      <w:pPr>
        <w:pStyle w:val="22"/>
        <w:keepNext w:val="0"/>
        <w:keepLines w:val="0"/>
        <w:pageBreakBefore w:val="0"/>
        <w:widowControl/>
        <w:kinsoku/>
        <w:wordWrap/>
        <w:overflowPunct/>
        <w:topLinePunct w:val="0"/>
        <w:bidi w:val="0"/>
        <w:adjustRightInd/>
        <w:snapToGrid/>
        <w:spacing w:line="240" w:lineRule="auto"/>
        <w:textAlignment w:val="auto"/>
        <w:rPr>
          <w:rFonts w:hint="eastAsia" w:ascii="宋体" w:hAnsi="Times New Roman" w:eastAsia="宋体" w:cs="Times New Roman"/>
          <w:sz w:val="21"/>
          <w:lang w:val="en-US" w:eastAsia="zh-CN" w:bidi="ar-SA"/>
        </w:rPr>
      </w:pPr>
      <w:bookmarkStart w:id="19" w:name="_Toc79493342"/>
      <w:bookmarkEnd w:id="19"/>
      <w:bookmarkStart w:id="20" w:name="_Toc75855898"/>
      <w:bookmarkStart w:id="21" w:name="_Toc79493344"/>
      <w:bookmarkStart w:id="22" w:name="_Toc75855935"/>
      <w:bookmarkStart w:id="23" w:name="_Toc75855836"/>
      <w:bookmarkStart w:id="24" w:name="_Toc72853267"/>
      <w:r>
        <w:rPr>
          <w:rFonts w:hint="eastAsia" w:asciiTheme="minorEastAsia" w:hAnsiTheme="minorEastAsia" w:eastAsiaTheme="minorEastAsia" w:cstheme="minorEastAsia"/>
          <w:kern w:val="2"/>
          <w:sz w:val="21"/>
          <w:szCs w:val="21"/>
          <w:lang w:val="en-US" w:eastAsia="zh-CN"/>
        </w:rPr>
        <w:t>L</w:t>
      </w:r>
      <w:r>
        <w:rPr>
          <w:rFonts w:hint="eastAsia" w:asciiTheme="minorEastAsia" w:hAnsiTheme="minorEastAsia" w:eastAsiaTheme="minorEastAsia" w:cstheme="minorEastAsia"/>
          <w:kern w:val="2"/>
          <w:sz w:val="21"/>
          <w:szCs w:val="21"/>
        </w:rPr>
        <w:t>Y</w:t>
      </w:r>
      <w:r>
        <w:rPr>
          <w:rFonts w:hint="eastAsia" w:asciiTheme="minorEastAsia" w:hAnsiTheme="minorEastAsia" w:eastAsiaTheme="minorEastAsia" w:cstheme="minorEastAsia"/>
          <w:kern w:val="2"/>
          <w:sz w:val="21"/>
          <w:szCs w:val="21"/>
          <w:lang w:val="en-US" w:eastAsia="zh-CN"/>
        </w:rPr>
        <w:t>/T 1650</w:t>
      </w:r>
      <w:r>
        <w:rPr>
          <w:rFonts w:hint="eastAsia" w:asciiTheme="minorEastAsia" w:hAnsiTheme="minorEastAsia" w:eastAsiaTheme="minorEastAsia" w:cstheme="minorEastAsia"/>
          <w:color w:val="auto"/>
          <w:kern w:val="0"/>
          <w:sz w:val="21"/>
          <w:szCs w:val="21"/>
          <w:lang w:val="en-US" w:eastAsia="zh-CN" w:bidi="ar-SA"/>
        </w:rPr>
        <w:t>界定的以及</w:t>
      </w:r>
      <w:r>
        <w:rPr>
          <w:rFonts w:hint="eastAsia" w:asciiTheme="minorEastAsia" w:hAnsiTheme="minorEastAsia" w:eastAsiaTheme="minorEastAsia" w:cstheme="minorEastAsia"/>
          <w:sz w:val="21"/>
          <w:lang w:val="en-US" w:eastAsia="zh-CN" w:bidi="ar-SA"/>
        </w:rPr>
        <w:t>下列术语和定义适用于本文件。</w:t>
      </w:r>
    </w:p>
    <w:p>
      <w:pPr>
        <w:pStyle w:val="26"/>
        <w:keepNext w:val="0"/>
        <w:keepLines w:val="0"/>
        <w:pageBreakBefore w:val="0"/>
        <w:widowControl/>
        <w:numPr>
          <w:ilvl w:val="0"/>
          <w:numId w:val="0"/>
        </w:numPr>
        <w:kinsoku/>
        <w:wordWrap/>
        <w:overflowPunct/>
        <w:topLinePunct w:val="0"/>
        <w:bidi w:val="0"/>
        <w:adjustRightInd/>
        <w:snapToGrid/>
        <w:spacing w:before="157" w:beforeLines="50" w:after="157" w:afterLines="50"/>
        <w:textAlignment w:val="auto"/>
        <w:rPr>
          <w:rFonts w:hint="eastAsia" w:cs="Times New Roman"/>
          <w:lang w:val="en-US" w:eastAsia="zh-CN"/>
        </w:rPr>
      </w:pPr>
      <w:r>
        <w:rPr>
          <w:rFonts w:hint="eastAsia" w:cs="Times New Roman"/>
          <w:lang w:val="en-US" w:eastAsia="zh-CN"/>
        </w:rPr>
        <w:t>3.1</w:t>
      </w:r>
    </w:p>
    <w:p>
      <w:pPr>
        <w:pStyle w:val="26"/>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ind w:leftChars="0" w:firstLine="420" w:firstLineChars="200"/>
        <w:textAlignment w:val="auto"/>
      </w:pPr>
      <w:r>
        <w:rPr>
          <w:rFonts w:hint="eastAsia"/>
        </w:rPr>
        <w:t>桓仁大榛子</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Theme="minorEastAsia" w:hAnsiTheme="minorEastAsia" w:eastAsiaTheme="minorEastAsia" w:cstheme="minorEastAsia"/>
        </w:rPr>
      </w:pPr>
      <w:r>
        <w:rPr>
          <w:rFonts w:hint="eastAsia"/>
          <w:lang w:eastAsia="zh-CN"/>
        </w:rPr>
        <w:t>在桓仁境内</w:t>
      </w:r>
      <w:r>
        <w:rPr>
          <w:rFonts w:hint="eastAsia" w:ascii="宋体" w:hAnsi="Times New Roman" w:eastAsia="宋体" w:cs="Times New Roman"/>
          <w:sz w:val="21"/>
          <w:lang w:val="en-US" w:eastAsia="zh-CN" w:bidi="ar-SA"/>
        </w:rPr>
        <w:t>以平榛为母本、欧榛为父本通过种间杂交选育出的栽培种。</w:t>
      </w:r>
      <w:r>
        <w:rPr>
          <w:rFonts w:hint="eastAsia" w:asciiTheme="minorEastAsia" w:hAnsiTheme="minorEastAsia" w:eastAsiaTheme="minorEastAsia" w:cstheme="minorEastAsia"/>
        </w:rPr>
        <w:t>主要品种（系）包括达维、辽榛7号、玉坠、长毛</w:t>
      </w:r>
      <w:r>
        <w:rPr>
          <w:rFonts w:hint="eastAsia" w:asciiTheme="minorEastAsia" w:hAnsiTheme="minorEastAsia" w:eastAsiaTheme="minorEastAsia" w:cstheme="minorEastAsia"/>
          <w:kern w:val="2"/>
          <w:sz w:val="21"/>
          <w:szCs w:val="21"/>
          <w:lang w:val="en-US" w:eastAsia="zh-CN" w:bidi="ar-SA"/>
        </w:rPr>
        <w:t>（B-21）</w:t>
      </w:r>
      <w:r>
        <w:rPr>
          <w:rFonts w:hint="eastAsia" w:asciiTheme="minorEastAsia" w:hAnsiTheme="minorEastAsia" w:eastAsiaTheme="minorEastAsia" w:cstheme="minorEastAsia"/>
        </w:rPr>
        <w:t>等。</w:t>
      </w:r>
    </w:p>
    <w:p>
      <w:pPr>
        <w:pStyle w:val="3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3.2</w:t>
      </w:r>
    </w:p>
    <w:p>
      <w:pPr>
        <w:pStyle w:val="26"/>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ind w:leftChars="0" w:firstLine="420" w:firstLineChars="200"/>
        <w:textAlignment w:val="auto"/>
        <w:rPr>
          <w:rFonts w:hint="eastAsia"/>
        </w:rPr>
      </w:pPr>
      <w:r>
        <w:rPr>
          <w:rFonts w:hint="eastAsia"/>
        </w:rPr>
        <w:t>坚果</w:t>
      </w:r>
    </w:p>
    <w:p>
      <w:pPr>
        <w:pStyle w:val="26"/>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ind w:leftChars="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除去果苞和杂质所得的果实部分。</w:t>
      </w:r>
    </w:p>
    <w:p>
      <w:pPr>
        <w:pStyle w:val="26"/>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ind w:leftChars="0"/>
        <w:textAlignment w:val="auto"/>
        <w:rPr>
          <w:rFonts w:hint="default" w:eastAsia="黑体"/>
          <w:lang w:val="en-US" w:eastAsia="zh-CN"/>
        </w:rPr>
      </w:pPr>
      <w:r>
        <w:rPr>
          <w:rFonts w:hint="eastAsia"/>
          <w:lang w:val="en-US" w:eastAsia="zh-CN"/>
        </w:rPr>
        <w:t>3.3</w:t>
      </w:r>
    </w:p>
    <w:p>
      <w:pPr>
        <w:pStyle w:val="26"/>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ind w:leftChars="0" w:firstLine="420" w:firstLineChars="200"/>
        <w:textAlignment w:val="auto"/>
      </w:pPr>
      <w:r>
        <w:rPr>
          <w:rFonts w:hint="eastAsia"/>
        </w:rPr>
        <w:t>熟榛子</w:t>
      </w:r>
    </w:p>
    <w:p>
      <w:pPr>
        <w:pStyle w:val="22"/>
        <w:keepNext w:val="0"/>
        <w:keepLines w:val="0"/>
        <w:pageBreakBefore w:val="0"/>
        <w:widowControl/>
        <w:kinsoku/>
        <w:wordWrap/>
        <w:overflowPunct/>
        <w:topLinePunct w:val="0"/>
        <w:bidi w:val="0"/>
        <w:adjustRightInd/>
        <w:snapToGrid/>
        <w:spacing w:line="240" w:lineRule="auto"/>
        <w:textAlignment w:val="auto"/>
        <w:rPr>
          <w:rFonts w:hint="eastAsia"/>
        </w:rPr>
      </w:pPr>
      <w:r>
        <w:rPr>
          <w:rFonts w:hint="eastAsia"/>
        </w:rPr>
        <w:t>经炒制、烘烤</w:t>
      </w:r>
      <w:r>
        <w:rPr>
          <w:rFonts w:hint="eastAsia"/>
          <w:lang w:eastAsia="zh-CN"/>
        </w:rPr>
        <w:t>等</w:t>
      </w:r>
      <w:r>
        <w:rPr>
          <w:rFonts w:hint="eastAsia"/>
        </w:rPr>
        <w:t>工艺制成的榛子。</w:t>
      </w: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lang w:eastAsia="zh-CN"/>
        </w:rPr>
      </w:pPr>
      <w:bookmarkStart w:id="25" w:name="_Toc31969"/>
      <w:r>
        <w:rPr>
          <w:rFonts w:hint="eastAsia"/>
          <w:lang w:val="en-US" w:eastAsia="zh-CN"/>
        </w:rPr>
        <w:t xml:space="preserve">4  </w:t>
      </w:r>
      <w:r>
        <w:rPr>
          <w:rFonts w:hint="eastAsia"/>
          <w:lang w:eastAsia="zh-CN"/>
        </w:rPr>
        <w:t>保护范围</w:t>
      </w:r>
      <w:bookmarkEnd w:id="25"/>
    </w:p>
    <w:p>
      <w:pPr>
        <w:pStyle w:val="22"/>
        <w:keepNext w:val="0"/>
        <w:keepLines w:val="0"/>
        <w:pageBreakBefore w:val="0"/>
        <w:widowControl/>
        <w:kinsoku/>
        <w:wordWrap/>
        <w:overflowPunct/>
        <w:topLinePunct w:val="0"/>
        <w:bidi w:val="0"/>
        <w:adjustRightInd/>
        <w:snapToGrid/>
        <w:spacing w:line="240" w:lineRule="auto"/>
        <w:ind w:left="0" w:leftChars="0" w:firstLine="210" w:firstLineChars="100"/>
        <w:textAlignment w:val="auto"/>
        <w:rPr>
          <w:rFonts w:hint="eastAsia" w:ascii="Times New Roman" w:hAnsi="Times New Roman" w:cs="Times New Roman"/>
          <w:kern w:val="2"/>
          <w:sz w:val="21"/>
          <w:szCs w:val="21"/>
        </w:rPr>
      </w:pPr>
      <w:r>
        <w:rPr>
          <w:rFonts w:hint="eastAsia"/>
        </w:rPr>
        <w:t>辽宁省桓仁满族自治县现辖行政区域范围，见附</w:t>
      </w:r>
      <w:r>
        <w:rPr>
          <w:rFonts w:hint="eastAsia" w:ascii="Times New Roman" w:hAnsi="Times New Roman" w:cs="Times New Roman"/>
          <w:kern w:val="2"/>
          <w:sz w:val="21"/>
          <w:szCs w:val="21"/>
        </w:rPr>
        <w:t>录A。</w:t>
      </w:r>
      <w:bookmarkEnd w:id="20"/>
      <w:bookmarkEnd w:id="21"/>
      <w:bookmarkEnd w:id="22"/>
      <w:bookmarkEnd w:id="23"/>
      <w:bookmarkEnd w:id="24"/>
      <w:bookmarkStart w:id="26" w:name="DW"/>
      <w:bookmarkEnd w:id="26"/>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textAlignment w:val="auto"/>
        <w:rPr>
          <w:rFonts w:hint="eastAsia"/>
        </w:rPr>
      </w:pPr>
      <w:r>
        <w:rPr>
          <w:rFonts w:hint="eastAsia"/>
          <w:lang w:val="en-US" w:eastAsia="zh-CN"/>
        </w:rPr>
        <w:t xml:space="preserve">5  </w:t>
      </w:r>
      <w:r>
        <w:rPr>
          <w:rFonts w:hint="eastAsia"/>
        </w:rPr>
        <w:t>要求</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line="240" w:lineRule="auto"/>
        <w:ind w:leftChars="0"/>
        <w:textAlignment w:val="auto"/>
      </w:pPr>
      <w:r>
        <w:rPr>
          <w:rFonts w:hint="eastAsia"/>
          <w:lang w:val="en-US" w:eastAsia="zh-CN"/>
        </w:rPr>
        <w:t xml:space="preserve">5.1  </w:t>
      </w:r>
      <w:r>
        <w:rPr>
          <w:rFonts w:hint="eastAsia"/>
          <w:lang w:eastAsia="zh-CN"/>
        </w:rPr>
        <w:t>感官</w:t>
      </w:r>
      <w:r>
        <w:rPr>
          <w:rFonts w:hint="eastAsia"/>
        </w:rPr>
        <w:t>要求</w:t>
      </w:r>
    </w:p>
    <w:p>
      <w:pPr>
        <w:pStyle w:val="22"/>
        <w:keepNext w:val="0"/>
        <w:keepLines w:val="0"/>
        <w:pageBreakBefore w:val="0"/>
        <w:widowControl/>
        <w:kinsoku/>
        <w:wordWrap/>
        <w:overflowPunct/>
        <w:topLinePunct w:val="0"/>
        <w:bidi w:val="0"/>
        <w:adjustRightInd/>
        <w:snapToGrid/>
        <w:textAlignment w:val="auto"/>
        <w:rPr>
          <w:rFonts w:hint="eastAsia"/>
          <w:lang w:val="en-US" w:eastAsia="zh-CN"/>
        </w:rPr>
      </w:pPr>
      <w:r>
        <w:rPr>
          <w:rFonts w:hint="eastAsia"/>
          <w:lang w:eastAsia="zh-CN"/>
        </w:rPr>
        <w:t>符合表</w:t>
      </w:r>
      <w:r>
        <w:rPr>
          <w:rFonts w:hint="eastAsia"/>
          <w:lang w:val="en-US" w:eastAsia="zh-CN"/>
        </w:rPr>
        <w:t>1的规定。</w:t>
      </w:r>
    </w:p>
    <w:p>
      <w:pPr>
        <w:pStyle w:val="26"/>
        <w:keepLines w:val="0"/>
        <w:numPr>
          <w:ilvl w:val="1"/>
          <w:numId w:val="0"/>
        </w:numPr>
        <w:kinsoku/>
        <w:wordWrap/>
        <w:overflowPunct/>
        <w:topLinePunct w:val="0"/>
        <w:bidi w:val="0"/>
        <w:adjustRightInd/>
        <w:snapToGrid/>
        <w:spacing w:beforeLines="0" w:afterLines="0" w:line="240" w:lineRule="auto"/>
        <w:ind w:leftChars="0"/>
        <w:jc w:val="center"/>
        <w:textAlignment w:val="auto"/>
        <w:rPr>
          <w:rFonts w:hint="default"/>
          <w:lang w:val="en-US" w:eastAsia="zh-CN"/>
        </w:rPr>
      </w:pPr>
      <w:r>
        <w:rPr>
          <w:rFonts w:hint="eastAsia"/>
          <w:lang w:val="en-US" w:eastAsia="zh-CN"/>
        </w:rPr>
        <w:t xml:space="preserve">表1 </w:t>
      </w:r>
      <w:r>
        <w:rPr>
          <w:rFonts w:hint="eastAsia"/>
          <w:lang w:eastAsia="zh-CN"/>
        </w:rPr>
        <w:t>感官</w:t>
      </w:r>
      <w:r>
        <w:rPr>
          <w:rFonts w:hint="eastAsia"/>
        </w:rPr>
        <w:t>要求</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2738"/>
        <w:gridCol w:w="3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vMerge w:val="restart"/>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宋体" w:hAnsi="宋体"/>
                <w:sz w:val="18"/>
                <w:szCs w:val="18"/>
              </w:rPr>
            </w:pPr>
            <w:r>
              <w:rPr>
                <w:rFonts w:hint="eastAsia" w:ascii="宋体" w:hAnsi="宋体"/>
                <w:sz w:val="18"/>
                <w:szCs w:val="18"/>
              </w:rPr>
              <w:t>项    目</w:t>
            </w:r>
          </w:p>
        </w:tc>
        <w:tc>
          <w:tcPr>
            <w:tcW w:w="3153" w:type="pct"/>
            <w:gridSpan w:val="2"/>
            <w:tcBorders>
              <w:top w:val="single" w:color="auto" w:sz="8" w:space="0"/>
              <w:left w:val="single" w:color="auto" w:sz="4" w:space="0"/>
              <w:bottom w:val="single" w:color="auto" w:sz="8" w:space="0"/>
              <w:right w:val="single" w:color="auto" w:sz="8" w:space="0"/>
            </w:tcBorders>
            <w:vAlign w:val="center"/>
          </w:tcPr>
          <w:p>
            <w:pPr>
              <w:autoSpaceDE w:val="0"/>
              <w:autoSpaceDN w:val="0"/>
              <w:jc w:val="center"/>
              <w:rPr>
                <w:rFonts w:hint="eastAsia" w:ascii="宋体" w:hAnsi="宋体" w:eastAsia="宋体"/>
                <w:sz w:val="18"/>
                <w:szCs w:val="18"/>
                <w:lang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sz w:val="18"/>
                <w:szCs w:val="18"/>
              </w:rPr>
            </w:pPr>
          </w:p>
        </w:tc>
        <w:tc>
          <w:tcPr>
            <w:tcW w:w="1430" w:type="pct"/>
            <w:tcBorders>
              <w:top w:val="single" w:color="auto" w:sz="8" w:space="0"/>
              <w:left w:val="single" w:color="auto" w:sz="4" w:space="0"/>
              <w:bottom w:val="single" w:color="auto" w:sz="4" w:space="0"/>
              <w:right w:val="single" w:color="auto" w:sz="4" w:space="0"/>
            </w:tcBorders>
            <w:vAlign w:val="center"/>
          </w:tcPr>
          <w:p>
            <w:pPr>
              <w:autoSpaceDE w:val="0"/>
              <w:autoSpaceDN w:val="0"/>
              <w:ind w:firstLine="360" w:firstLineChars="200"/>
              <w:jc w:val="center"/>
              <w:rPr>
                <w:rFonts w:ascii="宋体" w:hAnsi="宋体"/>
                <w:sz w:val="18"/>
                <w:szCs w:val="18"/>
              </w:rPr>
            </w:pPr>
            <w:r>
              <w:rPr>
                <w:rFonts w:hint="eastAsia" w:ascii="宋体" w:hAnsi="宋体"/>
                <w:sz w:val="18"/>
                <w:szCs w:val="18"/>
              </w:rPr>
              <w:t>生榛子</w:t>
            </w:r>
          </w:p>
        </w:tc>
        <w:tc>
          <w:tcPr>
            <w:tcW w:w="1723" w:type="pct"/>
            <w:tcBorders>
              <w:top w:val="single" w:color="auto" w:sz="8" w:space="0"/>
              <w:left w:val="single" w:color="auto" w:sz="4" w:space="0"/>
              <w:bottom w:val="single" w:color="auto" w:sz="4" w:space="0"/>
              <w:right w:val="single" w:color="auto" w:sz="8" w:space="0"/>
            </w:tcBorders>
            <w:vAlign w:val="center"/>
          </w:tcPr>
          <w:p>
            <w:pPr>
              <w:autoSpaceDE w:val="0"/>
              <w:autoSpaceDN w:val="0"/>
              <w:ind w:firstLine="360" w:firstLineChars="200"/>
              <w:jc w:val="center"/>
              <w:rPr>
                <w:rFonts w:ascii="宋体" w:hAnsi="宋体"/>
                <w:sz w:val="18"/>
                <w:szCs w:val="18"/>
              </w:rPr>
            </w:pPr>
            <w:r>
              <w:rPr>
                <w:rFonts w:hint="eastAsia" w:ascii="宋体" w:hAnsi="宋体"/>
                <w:sz w:val="18"/>
                <w:szCs w:val="18"/>
              </w:rPr>
              <w:t>熟榛子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right w:val="single" w:color="auto" w:sz="4" w:space="0"/>
            </w:tcBorders>
            <w:vAlign w:val="center"/>
          </w:tcPr>
          <w:p>
            <w:pPr>
              <w:autoSpaceDE w:val="0"/>
              <w:autoSpaceDN w:val="0"/>
              <w:jc w:val="center"/>
              <w:rPr>
                <w:rFonts w:hint="eastAsia" w:ascii="宋体" w:hAnsi="宋体" w:eastAsia="宋体"/>
                <w:sz w:val="18"/>
                <w:szCs w:val="18"/>
                <w:lang w:eastAsia="zh-CN"/>
              </w:rPr>
            </w:pPr>
            <w:r>
              <w:rPr>
                <w:rFonts w:hint="eastAsia" w:ascii="宋体" w:hAnsi="宋体" w:eastAsia="宋体"/>
                <w:sz w:val="18"/>
                <w:szCs w:val="18"/>
                <w:lang w:eastAsia="zh-CN"/>
              </w:rPr>
              <w:t>外观</w:t>
            </w:r>
          </w:p>
        </w:tc>
        <w:tc>
          <w:tcPr>
            <w:tcW w:w="3153" w:type="pct"/>
            <w:gridSpan w:val="2"/>
            <w:tcBorders>
              <w:top w:val="single" w:color="auto" w:sz="4" w:space="0"/>
              <w:left w:val="single" w:color="auto" w:sz="4" w:space="0"/>
              <w:bottom w:val="single" w:color="auto" w:sz="4" w:space="0"/>
              <w:right w:val="single" w:color="auto" w:sz="8" w:space="0"/>
            </w:tcBorders>
            <w:vAlign w:val="center"/>
          </w:tcPr>
          <w:p>
            <w:pPr>
              <w:pStyle w:val="22"/>
              <w:keepLines w:val="0"/>
              <w:kinsoku/>
              <w:wordWrap/>
              <w:overflowPunct/>
              <w:topLinePunct w:val="0"/>
              <w:bidi w:val="0"/>
              <w:adjustRightInd/>
              <w:snapToGrid/>
              <w:spacing w:line="240" w:lineRule="auto"/>
              <w:textAlignment w:val="auto"/>
              <w:rPr>
                <w:rFonts w:hint="eastAsia" w:ascii="宋体" w:hAnsi="宋体"/>
                <w:color w:val="000000" w:themeColor="text1"/>
                <w:sz w:val="18"/>
                <w:szCs w:val="18"/>
                <w14:textFill>
                  <w14:solidFill>
                    <w14:schemeClr w14:val="tx1"/>
                  </w14:solidFill>
                </w14:textFill>
              </w:rPr>
            </w:pPr>
            <w:r>
              <w:rPr>
                <w:rFonts w:hint="eastAsia"/>
                <w:sz w:val="18"/>
                <w:szCs w:val="18"/>
              </w:rPr>
              <w:t>坚果成熟，外观形态完好、整齐，呈自然黄色、棕色，无霉变。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right w:val="single" w:color="auto" w:sz="4" w:space="0"/>
            </w:tcBorders>
            <w:vAlign w:val="center"/>
          </w:tcPr>
          <w:p>
            <w:pPr>
              <w:autoSpaceDE w:val="0"/>
              <w:autoSpaceDN w:val="0"/>
              <w:jc w:val="center"/>
              <w:rPr>
                <w:rFonts w:hint="eastAsia" w:ascii="宋体" w:hAnsi="宋体" w:eastAsia="宋体"/>
                <w:sz w:val="18"/>
                <w:szCs w:val="18"/>
                <w:lang w:eastAsia="zh-CN"/>
              </w:rPr>
            </w:pPr>
            <w:r>
              <w:rPr>
                <w:rFonts w:hint="eastAsia" w:ascii="宋体" w:hAnsi="宋体" w:eastAsia="宋体"/>
                <w:sz w:val="18"/>
                <w:szCs w:val="18"/>
                <w:lang w:eastAsia="zh-CN"/>
              </w:rPr>
              <w:t>色泽</w:t>
            </w:r>
          </w:p>
        </w:tc>
        <w:tc>
          <w:tcPr>
            <w:tcW w:w="143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sz w:val="18"/>
                <w:szCs w:val="18"/>
              </w:rPr>
            </w:pPr>
            <w:r>
              <w:rPr>
                <w:rFonts w:hint="eastAsia"/>
                <w:sz w:val="18"/>
                <w:szCs w:val="18"/>
              </w:rPr>
              <w:t>自然黄色、棕色，</w:t>
            </w:r>
          </w:p>
          <w:p>
            <w:pPr>
              <w:autoSpaceDE w:val="0"/>
              <w:autoSpaceDN w:val="0"/>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无异常色和杂色。</w:t>
            </w:r>
          </w:p>
        </w:tc>
        <w:tc>
          <w:tcPr>
            <w:tcW w:w="1723" w:type="pct"/>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色泽均匀，不同品种应具有相应的色泽，不得有明显焦色和杂色</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left w:val="single" w:color="auto" w:sz="8" w:space="0"/>
              <w:right w:val="single" w:color="auto" w:sz="4" w:space="0"/>
            </w:tcBorders>
            <w:vAlign w:val="center"/>
          </w:tcPr>
          <w:p>
            <w:pPr>
              <w:autoSpaceDE w:val="0"/>
              <w:autoSpaceDN w:val="0"/>
              <w:jc w:val="center"/>
              <w:rPr>
                <w:rFonts w:hint="eastAsia" w:ascii="宋体" w:hAnsi="宋体"/>
                <w:sz w:val="18"/>
                <w:szCs w:val="18"/>
                <w:lang w:eastAsia="zh-CN"/>
              </w:rPr>
            </w:pPr>
            <w:r>
              <w:rPr>
                <w:rFonts w:hint="eastAsia" w:ascii="宋体" w:hAnsi="宋体"/>
                <w:sz w:val="18"/>
                <w:szCs w:val="18"/>
                <w:lang w:eastAsia="zh-CN"/>
              </w:rPr>
              <w:t>口味</w:t>
            </w:r>
          </w:p>
        </w:tc>
        <w:tc>
          <w:tcPr>
            <w:tcW w:w="143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p>
          <w:p>
            <w:pPr>
              <w:autoSpaceDE w:val="0"/>
              <w:autoSpaceDN w:val="0"/>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无酸败味、苦涩味等异味。</w:t>
            </w:r>
          </w:p>
        </w:tc>
        <w:tc>
          <w:tcPr>
            <w:tcW w:w="1723" w:type="pct"/>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无异味</w:t>
            </w:r>
            <w:r>
              <w:rPr>
                <w:rFonts w:hint="eastAsia" w:ascii="宋体" w:hAnsi="宋体"/>
                <w:color w:val="000000" w:themeColor="text1"/>
                <w:sz w:val="18"/>
                <w:szCs w:val="18"/>
                <w:lang w:eastAsia="zh-CN"/>
                <w14:textFill>
                  <w14:solidFill>
                    <w14:schemeClr w14:val="tx1"/>
                  </w14:solidFill>
                </w14:textFill>
              </w:rPr>
              <w:t>，</w:t>
            </w:r>
          </w:p>
          <w:p>
            <w:pPr>
              <w:autoSpaceDE w:val="0"/>
              <w:autoSpaceDN w:val="0"/>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具有松脆口感</w:t>
            </w:r>
            <w:r>
              <w:rPr>
                <w:rFonts w:hint="eastAsia" w:ascii="宋体" w:hAnsi="宋体"/>
                <w:color w:val="000000" w:themeColor="text1"/>
                <w:sz w:val="18"/>
                <w:szCs w:val="18"/>
                <w:lang w:eastAsia="zh-CN"/>
                <w14:textFill>
                  <w14:solidFill>
                    <w14:schemeClr w14:val="tx1"/>
                  </w14:solidFill>
                </w14:textFill>
              </w:rPr>
              <w:t>。</w:t>
            </w:r>
          </w:p>
        </w:tc>
      </w:tr>
    </w:tbl>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line="240" w:lineRule="auto"/>
        <w:ind w:leftChars="0"/>
        <w:textAlignment w:val="auto"/>
      </w:pPr>
      <w:r>
        <w:rPr>
          <w:rFonts w:hint="eastAsia"/>
          <w:lang w:val="en-US" w:eastAsia="zh-CN"/>
        </w:rPr>
        <w:t xml:space="preserve">5.2  </w:t>
      </w:r>
      <w:r>
        <w:rPr>
          <w:rFonts w:hint="eastAsia"/>
        </w:rPr>
        <w:t>理化</w:t>
      </w:r>
      <w:r>
        <w:rPr>
          <w:rFonts w:hint="eastAsia"/>
          <w:lang w:eastAsia="zh-CN"/>
        </w:rPr>
        <w:t>指标</w:t>
      </w:r>
    </w:p>
    <w:p>
      <w:pPr>
        <w:pStyle w:val="22"/>
        <w:keepLines w:val="0"/>
        <w:kinsoku/>
        <w:wordWrap/>
        <w:overflowPunct/>
        <w:topLinePunct w:val="0"/>
        <w:bidi w:val="0"/>
        <w:adjustRightInd/>
        <w:snapToGrid/>
        <w:spacing w:line="240" w:lineRule="auto"/>
        <w:textAlignment w:val="auto"/>
        <w:rPr>
          <w:rFonts w:hint="eastAsia" w:eastAsia="宋体"/>
          <w:lang w:eastAsia="zh-CN"/>
        </w:rPr>
      </w:pPr>
      <w:r>
        <w:rPr>
          <w:rFonts w:hint="eastAsia"/>
        </w:rPr>
        <w:t>应符合表</w:t>
      </w:r>
      <w:r>
        <w:rPr>
          <w:rFonts w:hint="eastAsia"/>
          <w:lang w:val="en-US" w:eastAsia="zh-CN"/>
        </w:rPr>
        <w:t>2</w:t>
      </w:r>
      <w:r>
        <w:rPr>
          <w:rFonts w:hint="eastAsia"/>
        </w:rPr>
        <w:t>的规定</w:t>
      </w:r>
      <w:r>
        <w:rPr>
          <w:rFonts w:hint="eastAsia"/>
          <w:lang w:eastAsia="zh-CN"/>
        </w:rPr>
        <w:t>。</w:t>
      </w:r>
    </w:p>
    <w:p>
      <w:pPr>
        <w:pStyle w:val="34"/>
        <w:spacing w:before="156" w:after="156"/>
        <w:jc w:val="center"/>
        <w:rPr>
          <w:rFonts w:hint="eastAsia" w:ascii="黑体" w:hAnsi="黑体" w:eastAsia="黑体" w:cs="黑体"/>
        </w:rPr>
      </w:pPr>
      <w:r>
        <w:rPr>
          <w:rFonts w:hint="eastAsia" w:ascii="黑体" w:hAnsi="黑体" w:eastAsia="黑体" w:cs="黑体"/>
        </w:rPr>
        <w:t>表</w:t>
      </w:r>
      <w:r>
        <w:rPr>
          <w:rFonts w:hint="eastAsia" w:cs="黑体"/>
          <w:lang w:val="en-US" w:eastAsia="zh-CN"/>
        </w:rPr>
        <w:t>2</w:t>
      </w:r>
      <w:r>
        <w:rPr>
          <w:rFonts w:hint="eastAsia" w:ascii="黑体" w:hAnsi="黑体" w:eastAsia="黑体" w:cs="黑体"/>
        </w:rPr>
        <w:t xml:space="preserve"> 理化指标</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2996"/>
        <w:gridCol w:w="30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宋体" w:hAnsi="宋体"/>
                <w:sz w:val="18"/>
                <w:szCs w:val="18"/>
              </w:rPr>
            </w:pPr>
            <w:r>
              <w:rPr>
                <w:rFonts w:hint="eastAsia" w:ascii="宋体" w:hAnsi="宋体"/>
                <w:sz w:val="18"/>
                <w:szCs w:val="18"/>
              </w:rPr>
              <w:t>项    目</w:t>
            </w:r>
          </w:p>
        </w:tc>
        <w:tc>
          <w:tcPr>
            <w:tcW w:w="3153" w:type="pct"/>
            <w:gridSpan w:val="2"/>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宋体" w:hAnsi="宋体"/>
                <w:sz w:val="18"/>
                <w:szCs w:val="18"/>
              </w:rPr>
            </w:pPr>
            <w:r>
              <w:rPr>
                <w:rFonts w:hint="eastAsia" w:ascii="宋体" w:hAnsi="宋体"/>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vMerge w:val="continue"/>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80" w:lineRule="exact"/>
              <w:jc w:val="left"/>
              <w:textAlignment w:val="auto"/>
              <w:rPr>
                <w:rFonts w:ascii="宋体" w:hAnsi="宋体"/>
                <w:sz w:val="18"/>
                <w:szCs w:val="18"/>
              </w:rPr>
            </w:pPr>
          </w:p>
        </w:tc>
        <w:tc>
          <w:tcPr>
            <w:tcW w:w="1565" w:type="pc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宋体" w:hAnsi="宋体"/>
                <w:sz w:val="18"/>
                <w:szCs w:val="18"/>
              </w:rPr>
            </w:pPr>
            <w:r>
              <w:rPr>
                <w:rFonts w:hint="eastAsia" w:ascii="宋体" w:hAnsi="宋体"/>
                <w:sz w:val="18"/>
                <w:szCs w:val="18"/>
              </w:rPr>
              <w:t>生榛子</w:t>
            </w:r>
          </w:p>
        </w:tc>
        <w:tc>
          <w:tcPr>
            <w:tcW w:w="1588" w:type="pc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宋体" w:hAnsi="宋体"/>
                <w:sz w:val="18"/>
                <w:szCs w:val="18"/>
              </w:rPr>
            </w:pPr>
            <w:r>
              <w:rPr>
                <w:rFonts w:hint="eastAsia" w:ascii="宋体" w:hAnsi="宋体"/>
                <w:sz w:val="18"/>
                <w:szCs w:val="18"/>
              </w:rPr>
              <w:t>熟榛子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水分</w:t>
            </w:r>
            <w:r>
              <w:rPr>
                <w:rFonts w:hint="eastAsia" w:asciiTheme="minorEastAsia" w:hAnsiTheme="minorEastAsia" w:eastAsiaTheme="minorEastAsia" w:cstheme="minorEastAsia"/>
                <w:kern w:val="2"/>
                <w:sz w:val="18"/>
                <w:szCs w:val="18"/>
                <w:lang w:val="en-US" w:eastAsia="zh-CN" w:bidi="ar-SA"/>
              </w:rPr>
              <w:t xml:space="preserve">（g/100g）                      </w:t>
            </w:r>
            <w:r>
              <w:rPr>
                <w:rFonts w:hint="eastAsia" w:asciiTheme="minorEastAsia" w:hAnsiTheme="minorEastAsia" w:eastAsiaTheme="minorEastAsia" w:cstheme="minorEastAsia"/>
                <w:sz w:val="18"/>
                <w:szCs w:val="18"/>
              </w:rPr>
              <w:t>≤</w:t>
            </w:r>
          </w:p>
        </w:tc>
        <w:tc>
          <w:tcPr>
            <w:tcW w:w="1565"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18"/>
                <w:szCs w:val="18"/>
                <w14:textFill>
                  <w14:solidFill>
                    <w14:schemeClr w14:val="tx1"/>
                  </w14:solidFill>
                </w14:textFill>
              </w:rPr>
              <w:t>.0</w:t>
            </w:r>
          </w:p>
        </w:tc>
        <w:tc>
          <w:tcPr>
            <w:tcW w:w="1588"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出仁率/</w:t>
            </w:r>
            <w:r>
              <w:rPr>
                <w:rFonts w:hint="eastAsia" w:asciiTheme="minorEastAsia" w:hAnsiTheme="minorEastAsia" w:eastAsiaTheme="minorEastAsia" w:cstheme="minorEastAsia"/>
                <w:kern w:val="2"/>
                <w:sz w:val="18"/>
                <w:szCs w:val="18"/>
                <w:lang w:val="en-US" w:eastAsia="zh-CN" w:bidi="ar-SA"/>
              </w:rPr>
              <w:t xml:space="preserve">（%）                        </w:t>
            </w:r>
            <w:r>
              <w:rPr>
                <w:rFonts w:hint="eastAsia" w:asciiTheme="minorEastAsia" w:hAnsiTheme="minorEastAsia" w:eastAsiaTheme="minorEastAsia" w:cstheme="minorEastAsia"/>
                <w:sz w:val="18"/>
                <w:szCs w:val="18"/>
              </w:rPr>
              <w:t>≥</w:t>
            </w:r>
          </w:p>
        </w:tc>
        <w:tc>
          <w:tcPr>
            <w:tcW w:w="3153" w:type="pct"/>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空瘪果</w:t>
            </w:r>
            <w:r>
              <w:rPr>
                <w:rFonts w:hint="eastAsia" w:asciiTheme="minorEastAsia" w:hAnsiTheme="minorEastAsia" w:eastAsiaTheme="minorEastAsia" w:cstheme="minorEastAsia"/>
                <w:sz w:val="18"/>
                <w:szCs w:val="18"/>
              </w:rPr>
              <w:t>率/</w:t>
            </w:r>
            <w:r>
              <w:rPr>
                <w:rFonts w:hint="eastAsia" w:asciiTheme="minorEastAsia" w:hAnsiTheme="minorEastAsia" w:eastAsiaTheme="minorEastAsia" w:cstheme="minorEastAsia"/>
                <w:kern w:val="2"/>
                <w:sz w:val="18"/>
                <w:szCs w:val="18"/>
                <w:lang w:val="en-US" w:eastAsia="zh-CN" w:bidi="ar-SA"/>
              </w:rPr>
              <w:t xml:space="preserve">（%）                     </w:t>
            </w:r>
            <w:r>
              <w:rPr>
                <w:rFonts w:hint="eastAsia" w:asciiTheme="minorEastAsia" w:hAnsiTheme="minorEastAsia" w:eastAsiaTheme="minorEastAsia" w:cstheme="minorEastAsia"/>
                <w:sz w:val="18"/>
                <w:szCs w:val="18"/>
              </w:rPr>
              <w:t>≤</w:t>
            </w:r>
          </w:p>
        </w:tc>
        <w:tc>
          <w:tcPr>
            <w:tcW w:w="3153" w:type="pct"/>
            <w:gridSpan w:val="2"/>
            <w:vMerge w:val="restart"/>
            <w:tcBorders>
              <w:top w:val="single" w:color="auto" w:sz="4" w:space="0"/>
              <w:left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FF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应符合DB2105/T xxx-2022的规定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虫蛀果</w:t>
            </w:r>
            <w:r>
              <w:rPr>
                <w:rFonts w:hint="eastAsia" w:asciiTheme="minorEastAsia" w:hAnsiTheme="minorEastAsia" w:eastAsiaTheme="minorEastAsia" w:cstheme="minorEastAsia"/>
                <w:sz w:val="18"/>
                <w:szCs w:val="18"/>
              </w:rPr>
              <w:t>率/</w:t>
            </w:r>
            <w:r>
              <w:rPr>
                <w:rFonts w:hint="eastAsia" w:asciiTheme="minorEastAsia" w:hAnsiTheme="minorEastAsia" w:eastAsiaTheme="minorEastAsia" w:cstheme="minorEastAsia"/>
                <w:kern w:val="2"/>
                <w:sz w:val="18"/>
                <w:szCs w:val="18"/>
                <w:lang w:val="en-US" w:eastAsia="zh-CN" w:bidi="ar-SA"/>
              </w:rPr>
              <w:t xml:space="preserve">（%）                     </w:t>
            </w:r>
            <w:r>
              <w:rPr>
                <w:rFonts w:hint="eastAsia" w:asciiTheme="minorEastAsia" w:hAnsiTheme="minorEastAsia" w:eastAsiaTheme="minorEastAsia" w:cstheme="minorEastAsia"/>
                <w:sz w:val="18"/>
                <w:szCs w:val="18"/>
              </w:rPr>
              <w:t>≤</w:t>
            </w:r>
          </w:p>
        </w:tc>
        <w:tc>
          <w:tcPr>
            <w:tcW w:w="3153" w:type="pct"/>
            <w:gridSpan w:val="2"/>
            <w:vMerge w:val="continue"/>
            <w:tcBorders>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FF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杂质/</w:t>
            </w:r>
            <w:r>
              <w:rPr>
                <w:rFonts w:hint="eastAsia" w:asciiTheme="minorEastAsia" w:hAnsiTheme="minorEastAsia" w:eastAsiaTheme="minorEastAsia" w:cstheme="minorEastAsia"/>
                <w:kern w:val="2"/>
                <w:sz w:val="18"/>
                <w:szCs w:val="18"/>
                <w:lang w:val="en-US" w:eastAsia="zh-CN" w:bidi="ar-SA"/>
              </w:rPr>
              <w:t xml:space="preserve">（%）                         </w:t>
            </w:r>
            <w:r>
              <w:rPr>
                <w:rFonts w:hint="eastAsia" w:asciiTheme="minorEastAsia" w:hAnsiTheme="minorEastAsia" w:eastAsiaTheme="minorEastAsia" w:cstheme="minorEastAsia"/>
                <w:sz w:val="18"/>
                <w:szCs w:val="18"/>
              </w:rPr>
              <w:t>≤</w:t>
            </w:r>
          </w:p>
        </w:tc>
        <w:tc>
          <w:tcPr>
            <w:tcW w:w="3153" w:type="pct"/>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蛋白质</w:t>
            </w:r>
            <w:r>
              <w:rPr>
                <w:rFonts w:hint="eastAsia" w:asciiTheme="minorEastAsia" w:hAnsiTheme="minorEastAsia" w:eastAsiaTheme="minorEastAsia" w:cstheme="minorEastAsia"/>
                <w:kern w:val="2"/>
                <w:sz w:val="18"/>
                <w:szCs w:val="18"/>
                <w:lang w:val="en-US" w:eastAsia="zh-CN" w:bidi="ar-SA"/>
              </w:rPr>
              <w:t xml:space="preserve">（g/100g）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3153" w:type="pct"/>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脂肪/</w:t>
            </w:r>
            <w:r>
              <w:rPr>
                <w:rFonts w:hint="eastAsia" w:asciiTheme="minorEastAsia" w:hAnsiTheme="minorEastAsia" w:eastAsiaTheme="minorEastAsia" w:cstheme="minorEastAsia"/>
                <w:kern w:val="2"/>
                <w:sz w:val="18"/>
                <w:szCs w:val="18"/>
                <w:lang w:val="en-US" w:eastAsia="zh-CN" w:bidi="ar-SA"/>
              </w:rPr>
              <w:t>（g/100g）                      ≥</w:t>
            </w:r>
          </w:p>
        </w:tc>
        <w:tc>
          <w:tcPr>
            <w:tcW w:w="3153" w:type="pct"/>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46.0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8"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酸价（以脂肪计</w:t>
            </w:r>
            <w:r>
              <w:rPr>
                <w:rFonts w:hint="eastAsia" w:asciiTheme="minorEastAsia" w:hAnsiTheme="minorEastAsia" w:eastAsiaTheme="minorEastAsia" w:cstheme="minorEastAsia"/>
                <w:kern w:val="2"/>
                <w:sz w:val="18"/>
                <w:szCs w:val="18"/>
                <w:lang w:val="en-US" w:eastAsia="zh-CN" w:bidi="ar-SA"/>
              </w:rPr>
              <w:t>，KOH）</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2"/>
                <w:sz w:val="18"/>
                <w:szCs w:val="18"/>
                <w:lang w:val="en-US" w:eastAsia="zh-CN" w:bidi="ar-SA"/>
              </w:rPr>
              <w:t xml:space="preserve">（mg/g）     </w:t>
            </w:r>
            <w:r>
              <w:rPr>
                <w:rFonts w:hint="eastAsia" w:asciiTheme="minorEastAsia" w:hAnsiTheme="minorEastAsia" w:eastAsiaTheme="minorEastAsia" w:cstheme="minorEastAsia"/>
                <w:sz w:val="18"/>
                <w:szCs w:val="18"/>
              </w:rPr>
              <w:t>≤</w:t>
            </w:r>
          </w:p>
        </w:tc>
        <w:tc>
          <w:tcPr>
            <w:tcW w:w="1565"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w:t>
            </w:r>
          </w:p>
        </w:tc>
        <w:tc>
          <w:tcPr>
            <w:tcW w:w="1588" w:type="pct"/>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6" w:type="pct"/>
            <w:tcBorders>
              <w:top w:val="single" w:color="auto" w:sz="4" w:space="0"/>
              <w:left w:val="single" w:color="auto" w:sz="8" w:space="0"/>
              <w:bottom w:val="single" w:color="auto" w:sz="8" w:space="0"/>
              <w:right w:val="single" w:color="auto" w:sz="4" w:space="0"/>
            </w:tcBorders>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过氧化值（以脂肪计）</w:t>
            </w:r>
            <w:r>
              <w:rPr>
                <w:rFonts w:hint="eastAsia" w:asciiTheme="minorEastAsia" w:hAnsiTheme="minorEastAsia" w:eastAsiaTheme="minorEastAsia" w:cstheme="minorEastAsia"/>
                <w:kern w:val="2"/>
                <w:sz w:val="18"/>
                <w:szCs w:val="18"/>
                <w:lang w:val="en-US" w:eastAsia="zh-CN" w:bidi="ar-SA"/>
              </w:rPr>
              <w:t xml:space="preserve">（g/100g）     </w:t>
            </w:r>
            <w:r>
              <w:rPr>
                <w:rFonts w:hint="eastAsia" w:asciiTheme="minorEastAsia" w:hAnsiTheme="minorEastAsia" w:eastAsiaTheme="minorEastAsia" w:cstheme="minorEastAsia"/>
                <w:sz w:val="18"/>
                <w:szCs w:val="18"/>
              </w:rPr>
              <w:t>≤</w:t>
            </w:r>
          </w:p>
        </w:tc>
        <w:tc>
          <w:tcPr>
            <w:tcW w:w="1565"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w:t>
            </w:r>
          </w:p>
        </w:tc>
        <w:tc>
          <w:tcPr>
            <w:tcW w:w="1588" w:type="pct"/>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0.08</w:t>
            </w:r>
          </w:p>
        </w:tc>
      </w:tr>
    </w:tbl>
    <w:p>
      <w:pPr>
        <w:pStyle w:val="26"/>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rPr>
      </w:pPr>
      <w:r>
        <w:rPr>
          <w:rFonts w:hint="eastAsia"/>
          <w:lang w:val="en-US" w:eastAsia="zh-CN"/>
        </w:rPr>
        <w:t xml:space="preserve">5.3  </w:t>
      </w:r>
      <w:r>
        <w:rPr>
          <w:rFonts w:hint="eastAsia"/>
        </w:rPr>
        <w:t>污染物和真菌毒素限量</w:t>
      </w:r>
    </w:p>
    <w:p>
      <w:pPr>
        <w:pStyle w:val="26"/>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60" w:lineRule="exact"/>
        <w:ind w:leftChars="0"/>
        <w:textAlignment w:val="auto"/>
        <w:rPr>
          <w:rFonts w:hint="eastAsia" w:asciiTheme="minorEastAsia" w:hAnsiTheme="minorEastAsia" w:eastAsiaTheme="minorEastAsia" w:cstheme="minorEastAsia"/>
        </w:rPr>
      </w:pPr>
      <w:r>
        <w:rPr>
          <w:rFonts w:hint="eastAsia" w:eastAsiaTheme="minorEastAsia"/>
          <w:lang w:val="en-US" w:eastAsia="zh-CN"/>
        </w:rPr>
        <w:t xml:space="preserve">5.3.1  </w:t>
      </w:r>
      <w:r>
        <w:rPr>
          <w:rFonts w:hint="eastAsia" w:asciiTheme="minorEastAsia" w:hAnsiTheme="minorEastAsia" w:eastAsiaTheme="minorEastAsia" w:cstheme="minorEastAsia"/>
        </w:rPr>
        <w:t>污染限量应符合</w:t>
      </w:r>
      <w:r>
        <w:rPr>
          <w:rFonts w:hint="eastAsia" w:asciiTheme="minorEastAsia" w:hAnsiTheme="minorEastAsia" w:eastAsiaTheme="minorEastAsia" w:cstheme="minorEastAsia"/>
          <w:kern w:val="2"/>
          <w:sz w:val="21"/>
          <w:szCs w:val="21"/>
          <w:lang w:val="en-US" w:eastAsia="zh-CN" w:bidi="ar-SA"/>
        </w:rPr>
        <w:t>GB 2762中</w:t>
      </w:r>
      <w:r>
        <w:rPr>
          <w:rFonts w:hint="eastAsia" w:asciiTheme="minorEastAsia" w:hAnsiTheme="minorEastAsia" w:eastAsiaTheme="minorEastAsia" w:cstheme="minorEastAsia"/>
        </w:rPr>
        <w:t>坚果及籽类的规定。</w:t>
      </w:r>
    </w:p>
    <w:p>
      <w:pPr>
        <w:pStyle w:val="2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60" w:lineRule="exact"/>
        <w:ind w:leftChars="0"/>
        <w:textAlignment w:val="auto"/>
      </w:pPr>
      <w:r>
        <w:rPr>
          <w:rFonts w:hint="eastAsia" w:ascii="黑体" w:hAnsi="黑体" w:eastAsia="黑体" w:cs="黑体"/>
          <w:lang w:val="en-US" w:eastAsia="zh-CN"/>
        </w:rPr>
        <w:t>5.3.2</w:t>
      </w:r>
      <w:r>
        <w:rPr>
          <w:rFonts w:hint="eastAsia" w:hAnsi="黑体" w:cs="黑体"/>
          <w:lang w:val="en-US" w:eastAsia="zh-CN"/>
        </w:rPr>
        <w:t xml:space="preserve">  </w:t>
      </w:r>
      <w:r>
        <w:rPr>
          <w:rFonts w:hint="eastAsia" w:asciiTheme="minorEastAsia" w:hAnsiTheme="minorEastAsia" w:eastAsiaTheme="minorEastAsia" w:cstheme="minorEastAsia"/>
        </w:rPr>
        <w:t>真菌毒素限量应符</w:t>
      </w:r>
      <w:r>
        <w:rPr>
          <w:rFonts w:hint="eastAsia" w:asciiTheme="minorEastAsia" w:hAnsiTheme="minorEastAsia" w:eastAsiaTheme="minorEastAsia" w:cstheme="minorEastAsia"/>
          <w:kern w:val="2"/>
          <w:sz w:val="21"/>
          <w:szCs w:val="21"/>
          <w:lang w:val="en-US" w:eastAsia="zh-CN" w:bidi="ar-SA"/>
        </w:rPr>
        <w:t>合GB 2761中</w:t>
      </w:r>
      <w:r>
        <w:rPr>
          <w:rFonts w:hint="eastAsia" w:asciiTheme="minorEastAsia" w:hAnsiTheme="minorEastAsia" w:eastAsiaTheme="minorEastAsia" w:cstheme="minorEastAsia"/>
        </w:rPr>
        <w:t>坚果及籽类的规定。</w:t>
      </w:r>
    </w:p>
    <w:p>
      <w:pPr>
        <w:pStyle w:val="26"/>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pPr>
      <w:r>
        <w:rPr>
          <w:rFonts w:hint="eastAsia"/>
          <w:lang w:val="en-US" w:eastAsia="zh-CN"/>
        </w:rPr>
        <w:t xml:space="preserve">5.4  </w:t>
      </w:r>
      <w:r>
        <w:rPr>
          <w:rFonts w:hint="eastAsia"/>
        </w:rPr>
        <w:t>农药残留限量</w:t>
      </w:r>
    </w:p>
    <w:p>
      <w:pPr>
        <w:pStyle w:val="2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应符合</w:t>
      </w:r>
      <w:r>
        <w:rPr>
          <w:rFonts w:hint="eastAsia" w:asciiTheme="minorEastAsia" w:hAnsiTheme="minorEastAsia" w:eastAsiaTheme="minorEastAsia" w:cstheme="minorEastAsia"/>
          <w:kern w:val="2"/>
          <w:sz w:val="21"/>
          <w:szCs w:val="21"/>
          <w:lang w:val="en-US" w:eastAsia="zh-CN" w:bidi="ar-SA"/>
        </w:rPr>
        <w:t>GB 2763的</w:t>
      </w:r>
      <w:r>
        <w:rPr>
          <w:rFonts w:hint="eastAsia" w:asciiTheme="minorEastAsia" w:hAnsiTheme="minorEastAsia" w:eastAsiaTheme="minorEastAsia" w:cstheme="minorEastAsia"/>
          <w:b w:val="0"/>
          <w:bCs w:val="0"/>
        </w:rPr>
        <w:t>规定。</w:t>
      </w:r>
    </w:p>
    <w:p>
      <w:pPr>
        <w:pStyle w:val="26"/>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b w:val="0"/>
          <w:bCs w:val="0"/>
        </w:rPr>
      </w:pPr>
      <w:r>
        <w:rPr>
          <w:rFonts w:hint="eastAsia"/>
          <w:b w:val="0"/>
          <w:bCs w:val="0"/>
          <w:lang w:val="en-US" w:eastAsia="zh-CN"/>
        </w:rPr>
        <w:t xml:space="preserve">5.5  </w:t>
      </w:r>
      <w:r>
        <w:rPr>
          <w:rFonts w:hint="eastAsia"/>
          <w:b w:val="0"/>
          <w:bCs w:val="0"/>
        </w:rPr>
        <w:t>微生物限量</w:t>
      </w:r>
    </w:p>
    <w:p>
      <w:pPr>
        <w:pStyle w:val="2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Theme="minorEastAsia" w:hAnsiTheme="minorEastAsia" w:eastAsiaTheme="minorEastAsia" w:cstheme="minorEastAsia"/>
        </w:rPr>
      </w:pPr>
      <w:r>
        <w:rPr>
          <w:rFonts w:hint="eastAsia" w:ascii="黑体" w:hAnsi="黑体" w:eastAsia="黑体" w:cs="黑体"/>
          <w:lang w:val="en-US" w:eastAsia="zh-CN"/>
        </w:rPr>
        <w:t>5.5.1</w:t>
      </w:r>
      <w:r>
        <w:rPr>
          <w:rFonts w:hint="eastAsia" w:hAnsi="黑体" w:cs="黑体"/>
          <w:lang w:val="en-US" w:eastAsia="zh-CN"/>
        </w:rPr>
        <w:t xml:space="preserve">  </w:t>
      </w:r>
      <w:r>
        <w:rPr>
          <w:rFonts w:hint="eastAsia" w:asciiTheme="minorEastAsia" w:hAnsiTheme="minorEastAsia" w:eastAsiaTheme="minorEastAsia" w:cstheme="minorEastAsia"/>
        </w:rPr>
        <w:t>致病菌限量应符</w:t>
      </w:r>
      <w:r>
        <w:rPr>
          <w:rFonts w:hint="eastAsia" w:ascii="Times New Roman" w:hAnsi="Times New Roman" w:eastAsia="宋体" w:cs="Times New Roman"/>
          <w:kern w:val="2"/>
          <w:sz w:val="21"/>
          <w:szCs w:val="21"/>
          <w:lang w:val="en-US" w:eastAsia="zh-CN" w:bidi="ar-SA"/>
        </w:rPr>
        <w:t>合</w:t>
      </w:r>
      <w:r>
        <w:rPr>
          <w:rFonts w:hint="eastAsia" w:asciiTheme="minorEastAsia" w:hAnsiTheme="minorEastAsia" w:eastAsiaTheme="minorEastAsia" w:cstheme="minorEastAsia"/>
          <w:kern w:val="2"/>
          <w:sz w:val="21"/>
          <w:szCs w:val="21"/>
          <w:lang w:val="en-US" w:eastAsia="zh-CN" w:bidi="ar-SA"/>
        </w:rPr>
        <w:t>GB 29921的</w:t>
      </w:r>
      <w:r>
        <w:rPr>
          <w:rFonts w:hint="eastAsia" w:asciiTheme="minorEastAsia" w:hAnsiTheme="minorEastAsia" w:eastAsiaTheme="minorEastAsia" w:cstheme="minorEastAsia"/>
        </w:rPr>
        <w:t>规定。</w:t>
      </w:r>
    </w:p>
    <w:p>
      <w:pPr>
        <w:pStyle w:val="2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Theme="minorEastAsia" w:hAnsiTheme="minorEastAsia" w:eastAsiaTheme="minorEastAsia" w:cstheme="minorEastAsia"/>
        </w:rPr>
      </w:pPr>
      <w:r>
        <w:rPr>
          <w:rFonts w:hint="eastAsia" w:ascii="黑体" w:hAnsi="黑体" w:eastAsia="黑体" w:cs="黑体"/>
          <w:lang w:val="en-US" w:eastAsia="zh-CN"/>
        </w:rPr>
        <w:t>5.5.2</w:t>
      </w:r>
      <w:r>
        <w:rPr>
          <w:rFonts w:hint="eastAsia" w:hAnsi="黑体" w:cs="黑体"/>
          <w:lang w:val="en-US" w:eastAsia="zh-CN"/>
        </w:rPr>
        <w:t xml:space="preserve">  </w:t>
      </w:r>
      <w:r>
        <w:rPr>
          <w:rFonts w:hint="eastAsia" w:asciiTheme="minorEastAsia" w:hAnsiTheme="minorEastAsia" w:eastAsiaTheme="minorEastAsia" w:cstheme="minorEastAsia"/>
        </w:rPr>
        <w:t>微生物限量应符合表</w:t>
      </w:r>
      <w:r>
        <w:rPr>
          <w:rFonts w:hint="eastAsia" w:asciiTheme="minorEastAsia" w:hAnsiTheme="minorEastAsia" w:eastAsiaTheme="minorEastAsia" w:cstheme="minorEastAsia"/>
          <w:lang w:val="en-US" w:eastAsia="zh-CN"/>
        </w:rPr>
        <w:t>3的</w:t>
      </w:r>
      <w:r>
        <w:rPr>
          <w:rFonts w:hint="eastAsia" w:asciiTheme="minorEastAsia" w:hAnsiTheme="minorEastAsia" w:eastAsiaTheme="minorEastAsia" w:cstheme="minorEastAsia"/>
        </w:rPr>
        <w:t>规定</w:t>
      </w:r>
    </w:p>
    <w:p>
      <w:pPr>
        <w:pStyle w:val="27"/>
        <w:numPr>
          <w:ilvl w:val="2"/>
          <w:numId w:val="0"/>
        </w:numPr>
        <w:spacing w:before="156" w:after="156"/>
        <w:ind w:firstLine="4200" w:firstLineChars="2000"/>
        <w:jc w:val="both"/>
        <w:rPr>
          <w:rFonts w:hint="eastAsia" w:ascii="黑体" w:hAnsi="黑体" w:eastAsia="黑体" w:cs="黑体"/>
          <w:b w:val="0"/>
          <w:bCs w:val="0"/>
        </w:rPr>
      </w:pPr>
      <w:r>
        <w:rPr>
          <w:rFonts w:hint="eastAsia" w:ascii="黑体" w:hAnsi="黑体" w:eastAsia="黑体" w:cs="黑体"/>
          <w:b w:val="0"/>
          <w:bCs w:val="0"/>
        </w:rPr>
        <w:t>表</w:t>
      </w:r>
      <w:r>
        <w:rPr>
          <w:rFonts w:hint="eastAsia" w:hAnsi="黑体" w:cs="黑体"/>
          <w:b w:val="0"/>
          <w:bCs w:val="0"/>
          <w:lang w:val="en-US" w:eastAsia="zh-CN"/>
        </w:rPr>
        <w:t>3</w:t>
      </w:r>
      <w:r>
        <w:rPr>
          <w:rFonts w:hint="eastAsia" w:ascii="黑体" w:hAnsi="黑体" w:eastAsia="黑体" w:cs="黑体"/>
          <w:b w:val="0"/>
          <w:bCs w:val="0"/>
        </w:rPr>
        <w:t xml:space="preserve">  微生物限量</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988"/>
        <w:gridCol w:w="1988"/>
        <w:gridCol w:w="198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项目</w:t>
            </w:r>
          </w:p>
        </w:tc>
        <w:tc>
          <w:tcPr>
            <w:tcW w:w="4157" w:type="pct"/>
            <w:gridSpan w:val="4"/>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采样方案</w:t>
            </w:r>
            <w:r>
              <w:rPr>
                <w:rFonts w:hint="eastAsia" w:cs="Calibri"/>
                <w:kern w:val="2"/>
                <w:sz w:val="18"/>
                <w:szCs w:val="18"/>
                <w:vertAlign w:val="superscript"/>
              </w:rPr>
              <w:t>a</w:t>
            </w:r>
            <w:r>
              <w:rPr>
                <w:rFonts w:hint="eastAsia" w:cs="Calibri"/>
                <w:kern w:val="2"/>
                <w:sz w:val="18"/>
                <w:szCs w:val="18"/>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alibri"/>
                <w:sz w:val="18"/>
                <w:szCs w:val="18"/>
              </w:rPr>
            </w:pP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n</w:t>
            </w: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c</w:t>
            </w: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m</w:t>
            </w:r>
          </w:p>
        </w:tc>
        <w:tc>
          <w:tcPr>
            <w:tcW w:w="1040"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大肠菌群</w:t>
            </w: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5</w:t>
            </w: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2</w:t>
            </w:r>
          </w:p>
        </w:tc>
        <w:tc>
          <w:tcPr>
            <w:tcW w:w="1039"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10</w:t>
            </w:r>
          </w:p>
        </w:tc>
        <w:tc>
          <w:tcPr>
            <w:tcW w:w="1040"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10</w:t>
            </w:r>
            <w:r>
              <w:rPr>
                <w:rFonts w:hint="eastAsia" w:cs="Calibri"/>
                <w:kern w:val="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pct"/>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cs="Calibri"/>
                <w:kern w:val="2"/>
                <w:sz w:val="18"/>
                <w:szCs w:val="18"/>
              </w:rPr>
            </w:pPr>
            <w:r>
              <w:rPr>
                <w:rFonts w:hint="eastAsia" w:cs="Calibri"/>
                <w:kern w:val="2"/>
                <w:sz w:val="18"/>
                <w:szCs w:val="18"/>
              </w:rPr>
              <w:t>霉菌</w:t>
            </w:r>
            <w:r>
              <w:rPr>
                <w:rFonts w:hint="eastAsia" w:cs="Calibri"/>
                <w:kern w:val="2"/>
                <w:sz w:val="18"/>
                <w:szCs w:val="18"/>
                <w:vertAlign w:val="superscript"/>
              </w:rPr>
              <w:t>b</w:t>
            </w:r>
            <w:r>
              <w:rPr>
                <w:rFonts w:hint="eastAsia" w:asciiTheme="minorEastAsia" w:hAnsiTheme="minorEastAsia" w:eastAsiaTheme="minorEastAsia" w:cstheme="minorEastAsia"/>
                <w:sz w:val="18"/>
                <w:szCs w:val="18"/>
              </w:rPr>
              <w:t>≤</w:t>
            </w:r>
          </w:p>
        </w:tc>
        <w:tc>
          <w:tcPr>
            <w:tcW w:w="4157" w:type="pct"/>
            <w:gridSpan w:val="4"/>
            <w:tcBorders>
              <w:top w:val="single" w:color="auto" w:sz="4" w:space="0"/>
              <w:left w:val="single" w:color="auto" w:sz="4" w:space="0"/>
              <w:bottom w:val="single" w:color="auto" w:sz="4" w:space="0"/>
              <w:right w:val="single" w:color="auto" w:sz="4" w:space="0"/>
            </w:tcBorders>
            <w:vAlign w:val="center"/>
          </w:tcPr>
          <w:p>
            <w:pPr>
              <w:pStyle w:val="22"/>
              <w:jc w:val="center"/>
              <w:rPr>
                <w:rFonts w:cs="Calibri"/>
                <w:kern w:val="2"/>
                <w:sz w:val="18"/>
                <w:szCs w:val="18"/>
              </w:rPr>
            </w:pPr>
            <w:r>
              <w:rPr>
                <w:rFonts w:hint="eastAsia" w:cs="Calibri"/>
                <w:kern w:val="2"/>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tcPr>
          <w:p>
            <w:pPr>
              <w:pStyle w:val="22"/>
              <w:ind w:firstLine="0" w:firstLineChars="0"/>
              <w:rPr>
                <w:rFonts w:cs="Calibri"/>
                <w:color w:val="auto"/>
                <w:kern w:val="2"/>
                <w:sz w:val="18"/>
                <w:szCs w:val="18"/>
              </w:rPr>
            </w:pPr>
            <w:r>
              <w:rPr>
                <w:rFonts w:hint="eastAsia" w:cs="Calibri"/>
                <w:color w:val="auto"/>
                <w:kern w:val="2"/>
                <w:sz w:val="18"/>
                <w:szCs w:val="18"/>
              </w:rPr>
              <w:t>a 样品的采集及处理按</w:t>
            </w:r>
            <w:r>
              <w:rPr>
                <w:rFonts w:hint="eastAsia" w:asciiTheme="minorEastAsia" w:hAnsiTheme="minorEastAsia" w:eastAsiaTheme="minorEastAsia" w:cstheme="minorEastAsia"/>
                <w:color w:val="auto"/>
                <w:kern w:val="2"/>
                <w:sz w:val="18"/>
                <w:szCs w:val="18"/>
              </w:rPr>
              <w:t>GB 4789.1执行。</w:t>
            </w:r>
          </w:p>
          <w:p>
            <w:pPr>
              <w:pStyle w:val="22"/>
              <w:ind w:firstLine="0" w:firstLineChars="0"/>
              <w:rPr>
                <w:rFonts w:cs="Calibri"/>
                <w:kern w:val="2"/>
                <w:sz w:val="18"/>
                <w:szCs w:val="18"/>
              </w:rPr>
            </w:pPr>
            <w:r>
              <w:rPr>
                <w:rFonts w:hint="eastAsia" w:cs="Calibri"/>
                <w:kern w:val="2"/>
                <w:sz w:val="18"/>
                <w:szCs w:val="18"/>
              </w:rPr>
              <w:t>b 仅适用于烘炒加工的熟制坚果与籽类食品。</w:t>
            </w:r>
          </w:p>
        </w:tc>
      </w:tr>
    </w:tbl>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5.6  </w:t>
      </w:r>
      <w:r>
        <w:rPr>
          <w:rFonts w:hint="eastAsia"/>
        </w:rPr>
        <w:t>食品添加剂</w:t>
      </w:r>
    </w:p>
    <w:p>
      <w:pPr>
        <w:pStyle w:val="22"/>
        <w:keepNext w:val="0"/>
        <w:keepLines w:val="0"/>
        <w:pageBreakBefore w:val="0"/>
        <w:kinsoku/>
        <w:wordWrap/>
        <w:overflowPunct/>
        <w:topLinePunct w:val="0"/>
        <w:bidi w:val="0"/>
        <w:adjustRightInd/>
        <w:snapToGrid/>
        <w:ind w:leftChars="0"/>
        <w:textAlignment w:val="auto"/>
        <w:rPr>
          <w:rFonts w:hint="eastAsia"/>
        </w:rPr>
      </w:pPr>
      <w:r>
        <w:rPr>
          <w:rFonts w:hint="eastAsia"/>
        </w:rPr>
        <w:t>食品添加剂的使用应符合</w:t>
      </w:r>
      <w:r>
        <w:rPr>
          <w:rFonts w:hint="eastAsia" w:asciiTheme="minorEastAsia" w:hAnsiTheme="minorEastAsia" w:eastAsiaTheme="minorEastAsia" w:cstheme="minorEastAsia"/>
          <w:kern w:val="2"/>
          <w:sz w:val="21"/>
          <w:szCs w:val="21"/>
        </w:rPr>
        <w:t>GB 2760</w:t>
      </w:r>
      <w:r>
        <w:rPr>
          <w:rFonts w:hint="eastAsia" w:asciiTheme="minorEastAsia" w:hAnsiTheme="minorEastAsia" w:eastAsiaTheme="minorEastAsia" w:cstheme="minorEastAsia"/>
        </w:rPr>
        <w:t>的</w:t>
      </w:r>
      <w:r>
        <w:rPr>
          <w:rFonts w:hint="eastAsia"/>
        </w:rPr>
        <w:t>规定。</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rPr>
          <w:rFonts w:hint="eastAsia"/>
        </w:rPr>
      </w:pPr>
      <w:r>
        <w:rPr>
          <w:rFonts w:hint="eastAsia" w:ascii="黑体" w:hAnsi="黑体" w:eastAsia="黑体" w:cs="黑体"/>
          <w:lang w:val="en-US" w:eastAsia="zh-CN"/>
        </w:rPr>
        <w:t xml:space="preserve">5.7 </w:t>
      </w:r>
      <w:r>
        <w:rPr>
          <w:rFonts w:hint="eastAsia" w:hAnsi="黑体" w:cs="黑体"/>
          <w:lang w:val="en-US" w:eastAsia="zh-CN"/>
        </w:rPr>
        <w:t xml:space="preserve"> </w:t>
      </w:r>
      <w:r>
        <w:rPr>
          <w:rFonts w:hint="eastAsia"/>
        </w:rPr>
        <w:t>净含量</w:t>
      </w:r>
    </w:p>
    <w:p>
      <w:pPr>
        <w:pStyle w:val="26"/>
        <w:keepNext w:val="0"/>
        <w:keepLines w:val="0"/>
        <w:pageBreakBefore w:val="0"/>
        <w:numPr>
          <w:ilvl w:val="1"/>
          <w:numId w:val="0"/>
        </w:numPr>
        <w:kinsoku/>
        <w:wordWrap/>
        <w:overflowPunct/>
        <w:topLinePunct w:val="0"/>
        <w:bidi w:val="0"/>
        <w:adjustRightInd/>
        <w:snapToGrid/>
        <w:spacing w:before="0" w:beforeLines="0" w:after="0" w:afterLines="0"/>
        <w:ind w:leftChars="0" w:firstLine="420" w:firstLineChars="200"/>
        <w:textAlignment w:val="auto"/>
        <w:rPr>
          <w:rFonts w:hint="eastAsia" w:ascii="黑体" w:hAnsi="黑体" w:eastAsia="黑体" w:cs="黑体"/>
          <w:lang w:val="en-US" w:eastAsia="zh-CN"/>
        </w:rPr>
      </w:pPr>
      <w:r>
        <w:rPr>
          <w:rFonts w:hint="eastAsia" w:asciiTheme="minorEastAsia" w:hAnsiTheme="minorEastAsia" w:eastAsiaTheme="minorEastAsia" w:cstheme="minorEastAsia"/>
        </w:rPr>
        <w:t>应符合国家《定量包装商品计量监督管理办法》</w:t>
      </w:r>
      <w:r>
        <w:rPr>
          <w:rFonts w:hint="eastAsia" w:asciiTheme="minorEastAsia" w:hAnsiTheme="minorEastAsia" w:eastAsiaTheme="minorEastAsia" w:cstheme="minorEastAsia"/>
          <w:lang w:eastAsia="zh-CN"/>
        </w:rPr>
        <w:t>的规定</w:t>
      </w:r>
      <w:r>
        <w:rPr>
          <w:rFonts w:hint="eastAsia" w:asciiTheme="minorEastAsia" w:hAnsiTheme="minorEastAsia" w:eastAsiaTheme="minorEastAsia" w:cstheme="minorEastAsia"/>
        </w:rPr>
        <w:t>。</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ascii="黑体" w:hAnsi="黑体" w:eastAsia="黑体" w:cs="黑体"/>
          <w:lang w:val="en-US" w:eastAsia="zh-CN"/>
        </w:rPr>
        <w:t>5.8  卫生要求</w:t>
      </w:r>
    </w:p>
    <w:p>
      <w:pPr>
        <w:pStyle w:val="22"/>
        <w:keepNext w:val="0"/>
        <w:keepLines w:val="0"/>
        <w:pageBreakBefore w:val="0"/>
        <w:kinsoku/>
        <w:wordWrap/>
        <w:overflowPunct/>
        <w:topLinePunct w:val="0"/>
        <w:bidi w:val="0"/>
        <w:adjustRightInd/>
        <w:snapToGrid/>
        <w:ind w:leftChars="0"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eastAsia="zh-CN"/>
        </w:rPr>
        <w:t>应符合</w:t>
      </w:r>
      <w:r>
        <w:rPr>
          <w:rFonts w:hint="eastAsia" w:asciiTheme="minorEastAsia" w:hAnsiTheme="minorEastAsia" w:eastAsiaTheme="minorEastAsia" w:cstheme="minorEastAsia"/>
          <w:kern w:val="2"/>
          <w:sz w:val="21"/>
          <w:szCs w:val="21"/>
        </w:rPr>
        <w:t>GB</w:t>
      </w:r>
      <w:r>
        <w:rPr>
          <w:rFonts w:hint="eastAsia" w:asciiTheme="minorEastAsia" w:hAnsiTheme="minorEastAsia" w:eastAsiaTheme="minorEastAsia" w:cstheme="minorEastAsia"/>
          <w:kern w:val="2"/>
          <w:sz w:val="21"/>
          <w:szCs w:val="21"/>
          <w:lang w:val="en-US" w:eastAsia="zh-CN"/>
        </w:rPr>
        <w:t>/T</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kern w:val="2"/>
          <w:sz w:val="21"/>
          <w:szCs w:val="21"/>
          <w:lang w:val="en-US" w:eastAsia="zh-CN"/>
        </w:rPr>
        <w:t>22165的</w:t>
      </w:r>
      <w:r>
        <w:rPr>
          <w:rFonts w:hint="eastAsia" w:asciiTheme="minorEastAsia" w:hAnsiTheme="minorEastAsia" w:eastAsiaTheme="minorEastAsia" w:cstheme="minorEastAsia"/>
        </w:rPr>
        <w:t>规定。</w:t>
      </w:r>
    </w:p>
    <w:p>
      <w:pPr>
        <w:pStyle w:val="22"/>
        <w:keepNext w:val="0"/>
        <w:keepLines w:val="0"/>
        <w:pageBreakBefore w:val="0"/>
        <w:widowControl/>
        <w:kinsoku/>
        <w:wordWrap/>
        <w:overflowPunct/>
        <w:topLinePunct w:val="0"/>
        <w:bidi w:val="0"/>
        <w:adjustRightInd/>
        <w:snapToGrid/>
        <w:spacing w:before="157" w:beforeLines="50" w:after="157" w:afterLines="50"/>
        <w:ind w:left="0" w:leftChars="0" w:firstLine="0" w:firstLineChars="0"/>
        <w:textAlignment w:val="auto"/>
        <w:rPr>
          <w:rFonts w:hint="eastAsia" w:ascii="黑体" w:hAnsi="黑体" w:eastAsia="黑体" w:cs="黑体"/>
        </w:rPr>
      </w:pPr>
      <w:bookmarkStart w:id="27" w:name="_Toc6318"/>
      <w:bookmarkStart w:id="28" w:name="_Toc3962"/>
      <w:r>
        <w:rPr>
          <w:rFonts w:hint="eastAsia" w:ascii="黑体" w:hAnsi="黑体" w:eastAsia="黑体" w:cs="黑体"/>
          <w:lang w:val="en-US" w:eastAsia="zh-CN"/>
        </w:rPr>
        <w:t xml:space="preserve">5.9  </w:t>
      </w:r>
      <w:r>
        <w:rPr>
          <w:rFonts w:hint="eastAsia" w:ascii="黑体" w:hAnsi="黑体" w:eastAsia="黑体" w:cs="黑体"/>
        </w:rPr>
        <w:t>生产加工要求</w:t>
      </w:r>
      <w:bookmarkEnd w:id="27"/>
      <w:bookmarkEnd w:id="28"/>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eastAsia="zh-CN"/>
        </w:rPr>
        <w:t>应符合</w:t>
      </w:r>
      <w:r>
        <w:rPr>
          <w:rFonts w:hint="eastAsia" w:asciiTheme="minorEastAsia" w:hAnsiTheme="minorEastAsia" w:eastAsiaTheme="minorEastAsia" w:cstheme="minorEastAsia"/>
          <w:kern w:val="2"/>
          <w:sz w:val="21"/>
          <w:szCs w:val="21"/>
        </w:rPr>
        <w:t>GB 14881</w:t>
      </w:r>
      <w:r>
        <w:rPr>
          <w:rFonts w:hint="eastAsia" w:asciiTheme="minorEastAsia" w:hAnsiTheme="minorEastAsia" w:eastAsiaTheme="minorEastAsia" w:cstheme="minorEastAsia"/>
          <w:kern w:val="2"/>
          <w:sz w:val="21"/>
          <w:szCs w:val="21"/>
          <w:lang w:eastAsia="zh-CN"/>
        </w:rPr>
        <w:t>的</w:t>
      </w:r>
      <w:r>
        <w:rPr>
          <w:rFonts w:hint="eastAsia" w:asciiTheme="minorEastAsia" w:hAnsiTheme="minorEastAsia" w:eastAsiaTheme="minorEastAsia" w:cstheme="minorEastAsia"/>
        </w:rPr>
        <w:t>规定。</w:t>
      </w: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rPr>
      </w:pPr>
      <w:bookmarkStart w:id="29" w:name="_Toc20632"/>
      <w:bookmarkStart w:id="30" w:name="_Toc6461"/>
      <w:bookmarkStart w:id="31" w:name="_Toc30156"/>
      <w:r>
        <w:rPr>
          <w:rFonts w:hint="eastAsia"/>
          <w:lang w:val="en-US" w:eastAsia="zh-CN"/>
        </w:rPr>
        <w:t xml:space="preserve">6  </w:t>
      </w:r>
      <w:r>
        <w:rPr>
          <w:rFonts w:hint="eastAsia"/>
        </w:rPr>
        <w:t>检验方法</w:t>
      </w:r>
      <w:bookmarkEnd w:id="29"/>
      <w:bookmarkEnd w:id="30"/>
      <w:bookmarkEnd w:id="31"/>
    </w:p>
    <w:p>
      <w:pPr>
        <w:pStyle w:val="33"/>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ascii="黑体" w:hAnsi="黑体" w:eastAsia="黑体"/>
          <w:lang w:val="en-US" w:eastAsia="zh-CN"/>
        </w:rPr>
        <w:t xml:space="preserve">6.1  </w:t>
      </w:r>
      <w:r>
        <w:rPr>
          <w:rFonts w:hint="eastAsia" w:ascii="黑体" w:hAnsi="黑体" w:eastAsia="黑体"/>
        </w:rPr>
        <w:t>感官</w:t>
      </w:r>
      <w:r>
        <w:rPr>
          <w:rFonts w:hint="eastAsia" w:ascii="黑体" w:hAnsi="黑体" w:eastAsia="黑体"/>
          <w:lang w:eastAsia="zh-CN"/>
        </w:rPr>
        <w:t>要求</w:t>
      </w:r>
    </w:p>
    <w:p>
      <w:pPr>
        <w:pStyle w:val="33"/>
        <w:keepNext w:val="0"/>
        <w:keepLines w:val="0"/>
        <w:pageBreakBefore w:val="0"/>
        <w:numPr>
          <w:ilvl w:val="1"/>
          <w:numId w:val="0"/>
        </w:numPr>
        <w:kinsoku/>
        <w:wordWrap/>
        <w:overflowPunct/>
        <w:topLinePunct w:val="0"/>
        <w:bidi w:val="0"/>
        <w:adjustRightInd/>
        <w:snapToGrid/>
        <w:spacing w:before="0" w:beforeLines="0" w:after="0" w:afterLines="0"/>
        <w:ind w:leftChars="0" w:firstLine="420" w:firstLineChars="200"/>
        <w:textAlignment w:val="auto"/>
        <w:rPr>
          <w:rFonts w:hint="eastAsia"/>
        </w:rPr>
      </w:pPr>
      <w:r>
        <w:rPr>
          <w:rFonts w:hint="eastAsia"/>
        </w:rPr>
        <w:t>在自然光或</w:t>
      </w:r>
      <w:r>
        <w:rPr>
          <w:rFonts w:hint="eastAsia" w:ascii="Times New Roman" w:hAnsi="Times New Roman" w:eastAsia="宋体" w:cs="Times New Roman"/>
          <w:kern w:val="2"/>
          <w:sz w:val="21"/>
          <w:szCs w:val="21"/>
          <w:lang w:val="en-US" w:eastAsia="zh-CN" w:bidi="ar-SA"/>
        </w:rPr>
        <w:t>20W的</w:t>
      </w:r>
      <w:r>
        <w:rPr>
          <w:rFonts w:hint="eastAsia"/>
        </w:rPr>
        <w:t>白炽灯下，将样品置于洁净、干燥的白瓷盘中，用目测检查色泽、颗粒形状和</w:t>
      </w:r>
    </w:p>
    <w:p>
      <w:pPr>
        <w:pStyle w:val="33"/>
        <w:keepNext w:val="0"/>
        <w:keepLines w:val="0"/>
        <w:pageBreakBefore w:val="0"/>
        <w:numPr>
          <w:ilvl w:val="1"/>
          <w:numId w:val="0"/>
        </w:numPr>
        <w:kinsoku/>
        <w:wordWrap/>
        <w:overflowPunct/>
        <w:topLinePunct w:val="0"/>
        <w:bidi w:val="0"/>
        <w:adjustRightInd/>
        <w:snapToGrid/>
        <w:spacing w:before="0" w:beforeLines="0" w:after="0" w:afterLines="0"/>
        <w:ind w:leftChars="0"/>
        <w:textAlignment w:val="auto"/>
      </w:pPr>
      <w:r>
        <w:rPr>
          <w:rFonts w:hint="eastAsia"/>
        </w:rPr>
        <w:t>杂质</w:t>
      </w:r>
      <w:r>
        <w:rPr>
          <w:rFonts w:hint="eastAsia"/>
          <w:lang w:eastAsia="zh-CN"/>
        </w:rPr>
        <w:t>。</w:t>
      </w:r>
      <w:r>
        <w:rPr>
          <w:rFonts w:hint="eastAsia"/>
        </w:rPr>
        <w:t>将壳去除后用目测检查仁的色泽，嗅其气味、尝其滋味与口感。</w:t>
      </w:r>
    </w:p>
    <w:p>
      <w:pPr>
        <w:pStyle w:val="33"/>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rPr>
          <w:rFonts w:ascii="黑体" w:hAnsi="黑体" w:eastAsia="黑体"/>
        </w:rPr>
      </w:pPr>
      <w:r>
        <w:rPr>
          <w:rFonts w:hint="eastAsia" w:ascii="黑体" w:hAnsi="黑体" w:eastAsia="黑体"/>
          <w:lang w:val="en-US" w:eastAsia="zh-CN"/>
        </w:rPr>
        <w:t xml:space="preserve">6.2  </w:t>
      </w:r>
      <w:r>
        <w:rPr>
          <w:rFonts w:hint="eastAsia" w:ascii="黑体" w:hAnsi="黑体" w:eastAsia="黑体"/>
        </w:rPr>
        <w:t>理化指标</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6.2.1  </w:t>
      </w:r>
      <w:r>
        <w:rPr>
          <w:rFonts w:hint="eastAsia"/>
        </w:rPr>
        <w:t>水分</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GB 5009.3</w:t>
      </w:r>
      <w:r>
        <w:rPr>
          <w:rFonts w:hint="eastAsia" w:asciiTheme="minorEastAsia" w:hAnsiTheme="minorEastAsia" w:eastAsiaTheme="minorEastAsia" w:cstheme="minorEastAsia"/>
        </w:rPr>
        <w:t>规定的方法执行。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6.2.2  </w:t>
      </w:r>
      <w:r>
        <w:rPr>
          <w:rFonts w:hint="eastAsia"/>
        </w:rPr>
        <w:t>出仁率</w:t>
      </w:r>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LY/T 1650</w:t>
      </w:r>
      <w:r>
        <w:rPr>
          <w:rFonts w:hint="eastAsia" w:asciiTheme="minorEastAsia" w:hAnsiTheme="minorEastAsia" w:eastAsiaTheme="minorEastAsia" w:cstheme="minorEastAsia"/>
        </w:rPr>
        <w:t>规定的方法执行。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6.2.4  </w:t>
      </w:r>
      <w:r>
        <w:rPr>
          <w:rFonts w:hint="eastAsia"/>
          <w:lang w:eastAsia="zh-CN"/>
        </w:rPr>
        <w:t>空瘪果</w:t>
      </w:r>
      <w:r>
        <w:rPr>
          <w:rFonts w:hint="eastAsia"/>
        </w:rPr>
        <w:t>率</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LY/T 1650</w:t>
      </w:r>
      <w:r>
        <w:rPr>
          <w:rFonts w:hint="eastAsia" w:asciiTheme="minorEastAsia" w:hAnsiTheme="minorEastAsia" w:eastAsiaTheme="minorEastAsia" w:cstheme="minorEastAsia"/>
        </w:rPr>
        <w:t>规定的</w:t>
      </w:r>
      <w:r>
        <w:rPr>
          <w:rFonts w:hint="eastAsia" w:asciiTheme="minorEastAsia" w:hAnsiTheme="minorEastAsia" w:eastAsiaTheme="minorEastAsia" w:cstheme="minorEastAsia"/>
          <w:lang w:eastAsia="zh-CN"/>
        </w:rPr>
        <w:t>缺陷果率检验</w:t>
      </w:r>
      <w:r>
        <w:rPr>
          <w:rFonts w:hint="eastAsia" w:asciiTheme="minorEastAsia" w:hAnsiTheme="minorEastAsia" w:eastAsiaTheme="minorEastAsia" w:cstheme="minorEastAsia"/>
        </w:rPr>
        <w:t>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6.2.5  </w:t>
      </w:r>
      <w:r>
        <w:rPr>
          <w:rFonts w:hint="eastAsia"/>
          <w:lang w:eastAsia="zh-CN"/>
        </w:rPr>
        <w:t>虫蛀果</w:t>
      </w:r>
      <w:r>
        <w:rPr>
          <w:rFonts w:hint="eastAsia"/>
        </w:rPr>
        <w:t>率</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LY/T 1650</w:t>
      </w:r>
      <w:r>
        <w:rPr>
          <w:rFonts w:hint="eastAsia" w:asciiTheme="minorEastAsia" w:hAnsiTheme="minorEastAsia" w:eastAsiaTheme="minorEastAsia" w:cstheme="minorEastAsia"/>
        </w:rPr>
        <w:t>规定的</w:t>
      </w:r>
      <w:r>
        <w:rPr>
          <w:rFonts w:hint="eastAsia" w:asciiTheme="minorEastAsia" w:hAnsiTheme="minorEastAsia" w:eastAsiaTheme="minorEastAsia" w:cstheme="minorEastAsia"/>
          <w:lang w:eastAsia="zh-CN"/>
        </w:rPr>
        <w:t>缺陷果率检验</w:t>
      </w:r>
      <w:r>
        <w:rPr>
          <w:rFonts w:hint="eastAsia" w:asciiTheme="minorEastAsia" w:hAnsiTheme="minorEastAsia" w:eastAsiaTheme="minorEastAsia" w:cstheme="minorEastAsia"/>
        </w:rPr>
        <w:t>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6.2.6  </w:t>
      </w:r>
      <w:r>
        <w:rPr>
          <w:rFonts w:hint="eastAsia"/>
        </w:rPr>
        <w:t>杂质</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LY/T 1650规定</w:t>
      </w:r>
      <w:r>
        <w:rPr>
          <w:rFonts w:hint="eastAsia" w:asciiTheme="minorEastAsia" w:hAnsiTheme="minorEastAsia" w:eastAsiaTheme="minorEastAsia" w:cstheme="minorEastAsia"/>
        </w:rPr>
        <w:t>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6.2.7  </w:t>
      </w:r>
      <w:r>
        <w:rPr>
          <w:rFonts w:hint="eastAsia"/>
        </w:rPr>
        <w:t>蛋白质</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GB 500</w:t>
      </w:r>
      <w:r>
        <w:rPr>
          <w:rFonts w:hint="eastAsia" w:asciiTheme="minorEastAsia" w:hAnsiTheme="minorEastAsia" w:eastAsiaTheme="minorEastAsia" w:cstheme="minorEastAsia"/>
          <w:kern w:val="2"/>
          <w:sz w:val="21"/>
          <w:szCs w:val="21"/>
          <w:lang w:val="en-US" w:eastAsia="zh-CN"/>
        </w:rPr>
        <w:t>9.5</w:t>
      </w:r>
      <w:r>
        <w:rPr>
          <w:rFonts w:hint="eastAsia" w:asciiTheme="minorEastAsia" w:hAnsiTheme="minorEastAsia" w:eastAsiaTheme="minorEastAsia" w:cstheme="minorEastAsia"/>
        </w:rPr>
        <w:t>规定的方法执行。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6.2.8  </w:t>
      </w:r>
      <w:r>
        <w:rPr>
          <w:rFonts w:hint="eastAsia"/>
        </w:rPr>
        <w:t>脂肪</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GB 5009.6</w:t>
      </w:r>
      <w:r>
        <w:rPr>
          <w:rFonts w:hint="eastAsia" w:asciiTheme="minorEastAsia" w:hAnsiTheme="minorEastAsia" w:eastAsiaTheme="minorEastAsia" w:cstheme="minorEastAsia"/>
        </w:rPr>
        <w:t>规定的方法执行。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6.2.9  </w:t>
      </w:r>
      <w:r>
        <w:rPr>
          <w:rFonts w:hint="eastAsia"/>
        </w:rPr>
        <w:t>酸价</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GB 5009.</w:t>
      </w:r>
      <w:r>
        <w:rPr>
          <w:rFonts w:hint="eastAsia" w:asciiTheme="minorEastAsia" w:hAnsiTheme="minorEastAsia" w:eastAsiaTheme="minorEastAsia" w:cstheme="minorEastAsia"/>
          <w:kern w:val="2"/>
          <w:sz w:val="21"/>
          <w:szCs w:val="21"/>
          <w:lang w:val="en-US" w:eastAsia="zh-CN"/>
        </w:rPr>
        <w:t>229</w:t>
      </w:r>
      <w:r>
        <w:rPr>
          <w:rFonts w:hint="eastAsia" w:asciiTheme="minorEastAsia" w:hAnsiTheme="minorEastAsia" w:eastAsiaTheme="minorEastAsia" w:cstheme="minorEastAsia"/>
        </w:rPr>
        <w:t>规定的方法执行。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6.2.10  </w:t>
      </w:r>
      <w:r>
        <w:rPr>
          <w:rFonts w:hint="eastAsia"/>
        </w:rPr>
        <w:t>过氧化值</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GB 5009.</w:t>
      </w:r>
      <w:r>
        <w:rPr>
          <w:rFonts w:hint="eastAsia" w:asciiTheme="minorEastAsia" w:hAnsiTheme="minorEastAsia" w:eastAsiaTheme="minorEastAsia" w:cstheme="minorEastAsia"/>
          <w:kern w:val="2"/>
          <w:sz w:val="21"/>
          <w:szCs w:val="21"/>
          <w:lang w:val="en-US" w:eastAsia="zh-CN"/>
        </w:rPr>
        <w:t>227</w:t>
      </w:r>
      <w:r>
        <w:rPr>
          <w:rFonts w:hint="eastAsia" w:asciiTheme="minorEastAsia" w:hAnsiTheme="minorEastAsia" w:eastAsiaTheme="minorEastAsia" w:cstheme="minorEastAsia"/>
        </w:rPr>
        <w:t>规定的方法执行。</w:t>
      </w:r>
    </w:p>
    <w:p>
      <w:pPr>
        <w:pStyle w:val="35"/>
        <w:keepNext w:val="0"/>
        <w:keepLines w:val="0"/>
        <w:pageBreakBefore w:val="0"/>
        <w:widowControl/>
        <w:numPr>
          <w:ilvl w:val="2"/>
          <w:numId w:val="0"/>
        </w:numPr>
        <w:kinsoku/>
        <w:wordWrap/>
        <w:overflowPunct/>
        <w:topLinePunct w:val="0"/>
        <w:bidi w:val="0"/>
        <w:adjustRightInd/>
        <w:snapToGrid/>
        <w:spacing w:before="157" w:beforeLines="50" w:after="157" w:afterLines="50"/>
        <w:ind w:leftChars="0"/>
        <w:textAlignment w:val="auto"/>
        <w:rPr>
          <w:rFonts w:hint="eastAsia" w:eastAsia="黑体"/>
          <w:lang w:eastAsia="zh-CN"/>
        </w:rPr>
      </w:pPr>
      <w:r>
        <w:rPr>
          <w:rFonts w:hint="eastAsia"/>
          <w:lang w:val="en-US" w:eastAsia="zh-CN"/>
        </w:rPr>
        <w:t xml:space="preserve">6.3  </w:t>
      </w:r>
      <w:r>
        <w:rPr>
          <w:rFonts w:hint="eastAsia"/>
        </w:rPr>
        <w:t>污染物和真菌毒素</w:t>
      </w:r>
      <w:r>
        <w:rPr>
          <w:rFonts w:hint="eastAsia"/>
          <w:lang w:eastAsia="zh-CN"/>
        </w:rPr>
        <w:t>限量</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ascii="宋体" w:hAnsi="宋体" w:eastAsia="宋体"/>
        </w:rPr>
      </w:pPr>
      <w:r>
        <w:rPr>
          <w:rFonts w:hint="eastAsia" w:hAnsi="黑体" w:cs="黑体"/>
          <w:lang w:val="en-US" w:eastAsia="zh-CN"/>
        </w:rPr>
        <w:t>6</w:t>
      </w:r>
      <w:r>
        <w:rPr>
          <w:rFonts w:hint="eastAsia" w:ascii="黑体" w:hAnsi="黑体" w:eastAsia="黑体" w:cs="黑体"/>
          <w:lang w:val="en-US" w:eastAsia="zh-CN"/>
        </w:rPr>
        <w:t xml:space="preserve">.3.1 </w:t>
      </w:r>
      <w:r>
        <w:rPr>
          <w:rFonts w:hint="eastAsia" w:hAnsi="黑体" w:cs="黑体"/>
          <w:lang w:val="en-US" w:eastAsia="zh-CN"/>
        </w:rPr>
        <w:t xml:space="preserve"> </w:t>
      </w:r>
      <w:r>
        <w:rPr>
          <w:rFonts w:hint="eastAsia" w:asciiTheme="minorEastAsia" w:hAnsiTheme="minorEastAsia" w:eastAsiaTheme="minorEastAsia" w:cstheme="minorEastAsia"/>
        </w:rPr>
        <w:t>污染物</w:t>
      </w:r>
      <w:r>
        <w:rPr>
          <w:rFonts w:hint="eastAsia" w:asciiTheme="minorEastAsia" w:hAnsiTheme="minorEastAsia" w:eastAsiaTheme="minorEastAsia" w:cstheme="minorEastAsia"/>
          <w:lang w:eastAsia="zh-CN"/>
        </w:rPr>
        <w:t>限量</w:t>
      </w:r>
      <w:r>
        <w:rPr>
          <w:rFonts w:hint="eastAsia" w:ascii="Times New Roman" w:hAnsi="Times New Roman" w:cs="Times New Roman" w:eastAsiaTheme="minorEastAsia"/>
          <w:kern w:val="2"/>
          <w:sz w:val="21"/>
          <w:szCs w:val="21"/>
          <w:lang w:val="en-US" w:eastAsia="zh-CN" w:bidi="ar-SA"/>
        </w:rPr>
        <w:t>按</w:t>
      </w:r>
      <w:r>
        <w:rPr>
          <w:rFonts w:hint="eastAsia" w:asciiTheme="minorEastAsia" w:hAnsiTheme="minorEastAsia" w:eastAsiaTheme="minorEastAsia" w:cstheme="minorEastAsia"/>
          <w:kern w:val="2"/>
          <w:sz w:val="21"/>
          <w:szCs w:val="21"/>
          <w:lang w:val="en-US" w:eastAsia="zh-CN" w:bidi="ar-SA"/>
        </w:rPr>
        <w:t>GB 2762</w:t>
      </w:r>
      <w:r>
        <w:rPr>
          <w:rFonts w:hint="eastAsia" w:asciiTheme="minorEastAsia" w:hAnsiTheme="minorEastAsia" w:eastAsiaTheme="minorEastAsia" w:cstheme="minorEastAsia"/>
        </w:rPr>
        <w:t>规定的方法执行。</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hint="eastAsia" w:ascii="宋体" w:hAnsi="宋体" w:eastAsia="宋体"/>
        </w:rPr>
      </w:pPr>
      <w:r>
        <w:rPr>
          <w:rFonts w:hint="eastAsia" w:hAnsi="黑体" w:cs="黑体"/>
          <w:lang w:val="en-US" w:eastAsia="zh-CN"/>
        </w:rPr>
        <w:t>6</w:t>
      </w:r>
      <w:r>
        <w:rPr>
          <w:rFonts w:hint="eastAsia" w:ascii="黑体" w:hAnsi="黑体" w:eastAsia="黑体" w:cs="黑体"/>
          <w:lang w:val="en-US" w:eastAsia="zh-CN"/>
        </w:rPr>
        <w:t>.3.2</w:t>
      </w:r>
      <w:r>
        <w:rPr>
          <w:rFonts w:hint="eastAsia" w:ascii="宋体" w:hAnsi="宋体" w:eastAsia="宋体"/>
          <w:lang w:val="en-US" w:eastAsia="zh-CN"/>
        </w:rPr>
        <w:t xml:space="preserve">  </w:t>
      </w:r>
      <w:r>
        <w:rPr>
          <w:rFonts w:hint="eastAsia" w:asciiTheme="minorEastAsia" w:hAnsiTheme="minorEastAsia" w:eastAsiaTheme="minorEastAsia" w:cstheme="minorEastAsia"/>
        </w:rPr>
        <w:t>真菌毒素</w:t>
      </w:r>
      <w:r>
        <w:rPr>
          <w:rFonts w:hint="eastAsia" w:asciiTheme="minorEastAsia" w:hAnsiTheme="minorEastAsia" w:eastAsiaTheme="minorEastAsia" w:cstheme="minorEastAsia"/>
          <w:lang w:eastAsia="zh-CN"/>
        </w:rPr>
        <w:t>限量</w:t>
      </w: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lang w:val="en-US" w:eastAsia="zh-CN" w:bidi="ar-SA"/>
        </w:rPr>
        <w:t>GB 2761</w:t>
      </w:r>
      <w:r>
        <w:rPr>
          <w:rFonts w:hint="eastAsia" w:asciiTheme="minorEastAsia" w:hAnsiTheme="minorEastAsia" w:eastAsiaTheme="minorEastAsia" w:cstheme="minorEastAsia"/>
        </w:rPr>
        <w:t>规定的方法执行。</w:t>
      </w:r>
    </w:p>
    <w:p>
      <w:pPr>
        <w:pStyle w:val="36"/>
        <w:keepNext w:val="0"/>
        <w:keepLines w:val="0"/>
        <w:pageBreakBefore w:val="0"/>
        <w:widowControl/>
        <w:numPr>
          <w:ilvl w:val="2"/>
          <w:numId w:val="0"/>
        </w:numPr>
        <w:kinsoku/>
        <w:wordWrap/>
        <w:overflowPunct/>
        <w:topLinePunct w:val="0"/>
        <w:bidi w:val="0"/>
        <w:adjustRightInd/>
        <w:snapToGrid/>
        <w:spacing w:before="157" w:beforeLines="50" w:after="157" w:afterLines="50"/>
        <w:ind w:leftChars="0"/>
        <w:textAlignment w:val="auto"/>
        <w:rPr>
          <w:rFonts w:hint="eastAsia" w:ascii="黑体" w:hAnsi="黑体" w:eastAsia="黑体" w:cs="黑体"/>
          <w:lang w:eastAsia="zh-CN"/>
        </w:rPr>
      </w:pPr>
      <w:r>
        <w:rPr>
          <w:rFonts w:hint="eastAsia" w:hAnsi="黑体" w:cs="黑体"/>
          <w:lang w:val="en-US" w:eastAsia="zh-CN"/>
        </w:rPr>
        <w:t>6</w:t>
      </w:r>
      <w:r>
        <w:rPr>
          <w:rFonts w:hint="eastAsia" w:ascii="黑体" w:hAnsi="黑体" w:eastAsia="黑体" w:cs="黑体"/>
          <w:lang w:val="en-US" w:eastAsia="zh-CN"/>
        </w:rPr>
        <w:t>.4</w:t>
      </w:r>
      <w:r>
        <w:rPr>
          <w:rFonts w:hint="eastAsia" w:hAnsi="黑体" w:cs="黑体"/>
          <w:lang w:val="en-US" w:eastAsia="zh-CN"/>
        </w:rPr>
        <w:t xml:space="preserve">  </w:t>
      </w:r>
      <w:r>
        <w:rPr>
          <w:rFonts w:hint="eastAsia" w:ascii="黑体" w:hAnsi="黑体" w:eastAsia="黑体" w:cs="黑体"/>
        </w:rPr>
        <w:t>农药残留</w:t>
      </w:r>
      <w:r>
        <w:rPr>
          <w:rFonts w:hint="eastAsia" w:ascii="黑体" w:hAnsi="黑体" w:eastAsia="黑体" w:cs="黑体"/>
          <w:lang w:eastAsia="zh-CN"/>
        </w:rPr>
        <w:t>限量</w:t>
      </w:r>
    </w:p>
    <w:p>
      <w:pPr>
        <w:pStyle w:val="36"/>
        <w:keepNext w:val="0"/>
        <w:keepLines w:val="0"/>
        <w:pageBreakBefore w:val="0"/>
        <w:widowControl/>
        <w:numPr>
          <w:ilvl w:val="2"/>
          <w:numId w:val="0"/>
        </w:numPr>
        <w:kinsoku/>
        <w:wordWrap/>
        <w:overflowPunct/>
        <w:topLinePunct w:val="0"/>
        <w:bidi w:val="0"/>
        <w:adjustRightInd/>
        <w:snapToGrid/>
        <w:spacing w:before="157" w:beforeLines="50" w:after="157" w:afterLines="50"/>
        <w:ind w:leftChars="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val="en-US" w:eastAsia="zh-CN" w:bidi="ar-SA"/>
        </w:rPr>
        <w:t>按GB 2763</w:t>
      </w:r>
      <w:r>
        <w:rPr>
          <w:rFonts w:hint="eastAsia" w:asciiTheme="minorEastAsia" w:hAnsiTheme="minorEastAsia" w:eastAsiaTheme="minorEastAsia" w:cstheme="minorEastAsia"/>
        </w:rPr>
        <w:t>规定的方法执行。</w:t>
      </w:r>
    </w:p>
    <w:p>
      <w:pPr>
        <w:pStyle w:val="35"/>
        <w:keepNext w:val="0"/>
        <w:keepLines w:val="0"/>
        <w:pageBreakBefore w:val="0"/>
        <w:widowControl/>
        <w:numPr>
          <w:ilvl w:val="2"/>
          <w:numId w:val="0"/>
        </w:numPr>
        <w:kinsoku/>
        <w:wordWrap/>
        <w:overflowPunct/>
        <w:topLinePunct w:val="0"/>
        <w:bidi w:val="0"/>
        <w:adjustRightInd/>
        <w:snapToGrid/>
        <w:spacing w:before="157" w:beforeLines="50" w:after="157" w:afterLines="50"/>
        <w:ind w:leftChars="0"/>
        <w:textAlignment w:val="auto"/>
        <w:rPr>
          <w:rFonts w:hint="eastAsia" w:eastAsia="黑体"/>
          <w:lang w:eastAsia="zh-CN"/>
        </w:rPr>
      </w:pPr>
      <w:r>
        <w:rPr>
          <w:rFonts w:hint="eastAsia"/>
          <w:lang w:val="en-US" w:eastAsia="zh-CN"/>
        </w:rPr>
        <w:t xml:space="preserve">6.5  </w:t>
      </w:r>
      <w:r>
        <w:rPr>
          <w:rFonts w:hint="eastAsia"/>
        </w:rPr>
        <w:t>微生物</w:t>
      </w:r>
      <w:r>
        <w:rPr>
          <w:rFonts w:hint="eastAsia"/>
          <w:lang w:eastAsia="zh-CN"/>
        </w:rPr>
        <w:t>限量</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hAnsi="黑体" w:cs="黑体"/>
          <w:lang w:val="en-US" w:eastAsia="zh-CN"/>
        </w:rPr>
        <w:t>6</w:t>
      </w:r>
      <w:r>
        <w:rPr>
          <w:rFonts w:hint="eastAsia" w:ascii="黑体" w:hAnsi="黑体" w:eastAsia="黑体" w:cs="黑体"/>
          <w:lang w:val="en-US" w:eastAsia="zh-CN"/>
        </w:rPr>
        <w:t>.5.1</w:t>
      </w:r>
      <w:r>
        <w:rPr>
          <w:rFonts w:hint="eastAsia" w:ascii="宋体" w:hAnsi="宋体" w:eastAsia="宋体"/>
          <w:lang w:val="en-US" w:eastAsia="zh-CN"/>
        </w:rPr>
        <w:t xml:space="preserve">  </w:t>
      </w:r>
      <w:r>
        <w:rPr>
          <w:rFonts w:hint="eastAsia" w:asciiTheme="minorEastAsia" w:hAnsiTheme="minorEastAsia" w:eastAsiaTheme="minorEastAsia" w:cstheme="minorEastAsia"/>
        </w:rPr>
        <w:t>致病菌</w:t>
      </w:r>
      <w:r>
        <w:rPr>
          <w:rFonts w:hint="eastAsia" w:asciiTheme="minorEastAsia" w:hAnsiTheme="minorEastAsia" w:eastAsiaTheme="minorEastAsia" w:cstheme="minorEastAsia"/>
          <w:lang w:eastAsia="zh-CN"/>
        </w:rPr>
        <w:t>限量</w:t>
      </w: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lang w:val="en-US" w:eastAsia="zh-CN" w:bidi="ar-SA"/>
        </w:rPr>
        <w:t>GB 29921规</w:t>
      </w:r>
      <w:r>
        <w:rPr>
          <w:rFonts w:hint="eastAsia" w:asciiTheme="minorEastAsia" w:hAnsiTheme="minorEastAsia" w:eastAsiaTheme="minorEastAsia" w:cstheme="minorEastAsia"/>
        </w:rPr>
        <w:t>定的方法执行。</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hint="eastAsia" w:ascii="黑体" w:hAnsi="黑体" w:eastAsia="黑体" w:cs="黑体"/>
          <w:lang w:val="en-US" w:eastAsia="zh-CN"/>
        </w:rPr>
      </w:pPr>
      <w:r>
        <w:rPr>
          <w:rFonts w:hint="eastAsia" w:hAnsi="黑体" w:cs="黑体"/>
          <w:lang w:val="en-US" w:eastAsia="zh-CN"/>
        </w:rPr>
        <w:t>6</w:t>
      </w:r>
      <w:r>
        <w:rPr>
          <w:rFonts w:hint="eastAsia" w:ascii="黑体" w:hAnsi="黑体" w:eastAsia="黑体" w:cs="黑体"/>
          <w:lang w:val="en-US" w:eastAsia="zh-CN"/>
        </w:rPr>
        <w:t xml:space="preserve">.5.2 </w:t>
      </w:r>
      <w:r>
        <w:rPr>
          <w:rFonts w:hint="eastAsia" w:hAnsi="黑体" w:cs="黑体"/>
          <w:lang w:val="en-US" w:eastAsia="zh-CN"/>
        </w:rPr>
        <w:t xml:space="preserve"> </w:t>
      </w:r>
      <w:r>
        <w:rPr>
          <w:rFonts w:hint="eastAsia" w:ascii="黑体" w:hAnsi="黑体" w:eastAsia="黑体" w:cs="黑体"/>
          <w:lang w:val="en-US" w:eastAsia="zh-CN"/>
        </w:rPr>
        <w:t>微生物限量</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ascii="宋体" w:hAnsi="宋体" w:eastAsia="宋体"/>
        </w:rPr>
      </w:pPr>
      <w:r>
        <w:rPr>
          <w:rFonts w:hint="eastAsia" w:hAnsi="黑体" w:cs="黑体"/>
          <w:lang w:val="en-US" w:eastAsia="zh-CN"/>
        </w:rPr>
        <w:t>6</w:t>
      </w:r>
      <w:r>
        <w:rPr>
          <w:rFonts w:hint="eastAsia" w:ascii="黑体" w:hAnsi="黑体" w:eastAsia="黑体" w:cs="黑体"/>
          <w:lang w:val="en-US" w:eastAsia="zh-CN"/>
        </w:rPr>
        <w:t>.5.2.1</w:t>
      </w:r>
      <w:r>
        <w:rPr>
          <w:rFonts w:hint="eastAsia" w:hAnsi="黑体" w:cs="黑体"/>
          <w:lang w:val="en-US" w:eastAsia="zh-CN"/>
        </w:rPr>
        <w:t xml:space="preserve">  </w:t>
      </w:r>
      <w:r>
        <w:rPr>
          <w:rFonts w:hint="eastAsia" w:asciiTheme="minorEastAsia" w:hAnsiTheme="minorEastAsia" w:eastAsiaTheme="minorEastAsia" w:cstheme="minorEastAsia"/>
        </w:rPr>
        <w:t>大肠菌群按</w:t>
      </w:r>
      <w:r>
        <w:rPr>
          <w:rFonts w:hint="eastAsia" w:asciiTheme="minorEastAsia" w:hAnsiTheme="minorEastAsia" w:eastAsiaTheme="minorEastAsia" w:cstheme="minorEastAsia"/>
          <w:kern w:val="2"/>
          <w:sz w:val="21"/>
          <w:szCs w:val="21"/>
          <w:lang w:val="en-US" w:eastAsia="zh-CN" w:bidi="ar-SA"/>
        </w:rPr>
        <w:t>GB 4789.3</w:t>
      </w:r>
      <w:r>
        <w:rPr>
          <w:rFonts w:hint="eastAsia" w:asciiTheme="minorEastAsia" w:hAnsiTheme="minorEastAsia" w:eastAsiaTheme="minorEastAsia" w:cstheme="minorEastAsia"/>
        </w:rPr>
        <w:t>规定的方法执行。</w:t>
      </w:r>
    </w:p>
    <w:p>
      <w:pPr>
        <w:pStyle w:val="36"/>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hint="eastAsia" w:asciiTheme="minorEastAsia" w:hAnsiTheme="minorEastAsia" w:eastAsiaTheme="minorEastAsia" w:cstheme="minorEastAsia"/>
        </w:rPr>
      </w:pPr>
      <w:r>
        <w:rPr>
          <w:rFonts w:hint="eastAsia" w:hAnsi="黑体" w:cs="黑体"/>
          <w:lang w:val="en-US" w:eastAsia="zh-CN"/>
        </w:rPr>
        <w:t>6</w:t>
      </w:r>
      <w:r>
        <w:rPr>
          <w:rFonts w:hint="eastAsia" w:ascii="黑体" w:hAnsi="黑体" w:eastAsia="黑体" w:cs="黑体"/>
          <w:lang w:val="en-US" w:eastAsia="zh-CN"/>
        </w:rPr>
        <w:t xml:space="preserve">.5.2.2 </w:t>
      </w:r>
      <w:r>
        <w:rPr>
          <w:rFonts w:hint="eastAsia" w:hAnsi="黑体" w:cs="黑体"/>
          <w:lang w:val="en-US" w:eastAsia="zh-CN"/>
        </w:rPr>
        <w:t xml:space="preserve"> </w:t>
      </w:r>
      <w:r>
        <w:rPr>
          <w:rFonts w:hint="eastAsia" w:asciiTheme="minorEastAsia" w:hAnsiTheme="minorEastAsia" w:eastAsiaTheme="minorEastAsia" w:cstheme="minorEastAsia"/>
        </w:rPr>
        <w:t>霉菌按</w:t>
      </w:r>
      <w:r>
        <w:rPr>
          <w:rFonts w:hint="eastAsia" w:asciiTheme="minorEastAsia" w:hAnsiTheme="minorEastAsia" w:eastAsiaTheme="minorEastAsia" w:cstheme="minorEastAsia"/>
          <w:kern w:val="2"/>
          <w:sz w:val="21"/>
          <w:szCs w:val="21"/>
          <w:lang w:val="en-US" w:eastAsia="zh-CN" w:bidi="ar-SA"/>
        </w:rPr>
        <w:t>GB 4789.15</w:t>
      </w:r>
      <w:r>
        <w:rPr>
          <w:rFonts w:hint="eastAsia" w:asciiTheme="minorEastAsia" w:hAnsiTheme="minorEastAsia" w:eastAsiaTheme="minorEastAsia" w:cstheme="minorEastAsia"/>
        </w:rPr>
        <w:t>规定的方法执行。</w:t>
      </w:r>
    </w:p>
    <w:p>
      <w:pPr>
        <w:pStyle w:val="22"/>
        <w:keepNext w:val="0"/>
        <w:keepLines w:val="0"/>
        <w:pageBreakBefore w:val="0"/>
        <w:widowControl/>
        <w:kinsoku/>
        <w:wordWrap/>
        <w:overflowPunct/>
        <w:topLinePunct w:val="0"/>
        <w:bidi w:val="0"/>
        <w:adjustRightInd/>
        <w:snapToGrid/>
        <w:spacing w:before="157" w:beforeLines="50" w:after="157" w:afterLines="50"/>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6.6  食品添加剂</w:t>
      </w:r>
    </w:p>
    <w:p>
      <w:pPr>
        <w:pStyle w:val="35"/>
        <w:keepNext w:val="0"/>
        <w:keepLines w:val="0"/>
        <w:pageBreakBefore w:val="0"/>
        <w:numPr>
          <w:ilvl w:val="0"/>
          <w:numId w:val="0"/>
        </w:numPr>
        <w:kinsoku/>
        <w:wordWrap/>
        <w:overflowPunct/>
        <w:topLinePunct w:val="0"/>
        <w:bidi w:val="0"/>
        <w:adjustRightInd/>
        <w:snapToGrid/>
        <w:spacing w:before="0" w:beforeLines="0" w:after="0" w:afterLines="0"/>
        <w:ind w:leftChars="0"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val="en-US" w:eastAsia="zh-CN" w:bidi="ar-SA"/>
        </w:rPr>
        <w:t>按GB 2763</w:t>
      </w:r>
      <w:r>
        <w:rPr>
          <w:rFonts w:hint="eastAsia" w:asciiTheme="minorEastAsia" w:hAnsiTheme="minorEastAsia" w:eastAsiaTheme="minorEastAsia" w:cstheme="minorEastAsia"/>
        </w:rPr>
        <w:t>规定的方法执行。</w:t>
      </w:r>
      <w:r>
        <w:rPr>
          <w:rFonts w:hint="eastAsia" w:asciiTheme="minorEastAsia" w:hAnsiTheme="minorEastAsia" w:eastAsiaTheme="minorEastAsia" w:cstheme="minorEastAsia"/>
          <w:lang w:val="en-US" w:eastAsia="zh-CN"/>
        </w:rPr>
        <w:t xml:space="preserve"> </w:t>
      </w:r>
    </w:p>
    <w:p>
      <w:pPr>
        <w:pStyle w:val="27"/>
        <w:keepNext w:val="0"/>
        <w:keepLines w:val="0"/>
        <w:pageBreakBefore w:val="0"/>
        <w:widowControl/>
        <w:numPr>
          <w:ilvl w:val="2"/>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6.7  </w:t>
      </w:r>
      <w:r>
        <w:rPr>
          <w:rFonts w:hint="eastAsia"/>
        </w:rPr>
        <w:t>净含量</w:t>
      </w:r>
    </w:p>
    <w:p>
      <w:pPr>
        <w:pStyle w:val="22"/>
        <w:keepNext w:val="0"/>
        <w:keepLines w:val="0"/>
        <w:pageBreakBefore w:val="0"/>
        <w:kinsoku/>
        <w:wordWrap/>
        <w:overflowPunct/>
        <w:topLinePunct w:val="0"/>
        <w:bidi w:val="0"/>
        <w:adjustRightInd/>
        <w:snapToGrid/>
        <w:ind w:left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kern w:val="2"/>
          <w:sz w:val="21"/>
          <w:szCs w:val="21"/>
        </w:rPr>
        <w:t>JJF 1070规</w:t>
      </w:r>
      <w:r>
        <w:rPr>
          <w:rFonts w:hint="eastAsia" w:asciiTheme="minorEastAsia" w:hAnsiTheme="minorEastAsia" w:eastAsiaTheme="minorEastAsia" w:cstheme="minorEastAsia"/>
        </w:rPr>
        <w:t>定的方法执行。</w:t>
      </w:r>
    </w:p>
    <w:p>
      <w:pPr>
        <w:pStyle w:val="22"/>
        <w:keepNext w:val="0"/>
        <w:keepLines w:val="0"/>
        <w:pageBreakBefore w:val="0"/>
        <w:widowControl/>
        <w:kinsoku/>
        <w:wordWrap/>
        <w:overflowPunct/>
        <w:topLinePunct w:val="0"/>
        <w:bidi w:val="0"/>
        <w:adjustRightInd/>
        <w:snapToGrid/>
        <w:spacing w:before="157" w:beforeLines="50" w:after="157" w:afterLines="50"/>
        <w:ind w:left="0" w:leftChars="0" w:firstLine="0" w:firstLineChars="0"/>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6.8  </w:t>
      </w:r>
      <w:r>
        <w:rPr>
          <w:rFonts w:hint="eastAsia" w:ascii="黑体" w:hAnsi="黑体" w:eastAsia="黑体" w:cs="黑体"/>
          <w:color w:val="000000" w:themeColor="text1"/>
          <w:lang w:eastAsia="zh-CN"/>
          <w14:textFill>
            <w14:solidFill>
              <w14:schemeClr w14:val="tx1"/>
            </w14:solidFill>
          </w14:textFill>
        </w:rPr>
        <w:t>卫生要求</w:t>
      </w:r>
    </w:p>
    <w:p>
      <w:pPr>
        <w:pStyle w:val="22"/>
        <w:keepNext w:val="0"/>
        <w:keepLines w:val="0"/>
        <w:pageBreakBefore w:val="0"/>
        <w:kinsoku/>
        <w:wordWrap/>
        <w:overflowPunct/>
        <w:topLinePunct w:val="0"/>
        <w:bidi w:val="0"/>
        <w:adjustRightInd/>
        <w:snapToGrid/>
        <w:ind w:leftChars="0" w:firstLine="42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按</w:t>
      </w:r>
      <w:r>
        <w:rPr>
          <w:rFonts w:hint="eastAsia" w:asciiTheme="minorEastAsia" w:hAnsiTheme="minorEastAsia" w:eastAsiaTheme="minorEastAsia" w:cstheme="minorEastAsia"/>
          <w:kern w:val="2"/>
          <w:sz w:val="21"/>
          <w:szCs w:val="21"/>
        </w:rPr>
        <w:t>GB</w:t>
      </w:r>
      <w:r>
        <w:rPr>
          <w:rFonts w:hint="eastAsia" w:asciiTheme="minorEastAsia" w:hAnsiTheme="minorEastAsia" w:eastAsiaTheme="minorEastAsia" w:cstheme="minorEastAsia"/>
          <w:kern w:val="2"/>
          <w:sz w:val="21"/>
          <w:szCs w:val="21"/>
          <w:lang w:val="en-US" w:eastAsia="zh-CN"/>
        </w:rPr>
        <w:t>/T</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kern w:val="2"/>
          <w:sz w:val="21"/>
          <w:szCs w:val="21"/>
          <w:lang w:val="en-US" w:eastAsia="zh-CN"/>
        </w:rPr>
        <w:t>22165</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14:textFill>
            <w14:solidFill>
              <w14:schemeClr w14:val="tx1"/>
            </w14:solidFill>
          </w14:textFill>
        </w:rPr>
        <w:t>规定的方法执行。</w:t>
      </w:r>
    </w:p>
    <w:p>
      <w:pPr>
        <w:pStyle w:val="22"/>
        <w:keepNext w:val="0"/>
        <w:keepLines w:val="0"/>
        <w:pageBreakBefore w:val="0"/>
        <w:widowControl/>
        <w:kinsoku/>
        <w:wordWrap/>
        <w:overflowPunct/>
        <w:topLinePunct w:val="0"/>
        <w:bidi w:val="0"/>
        <w:adjustRightInd/>
        <w:snapToGrid/>
        <w:spacing w:before="157" w:beforeLines="50" w:after="157" w:afterLines="50"/>
        <w:ind w:left="0" w:leftChars="0" w:firstLine="0" w:firstLineChars="0"/>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6.9  </w:t>
      </w:r>
      <w:r>
        <w:rPr>
          <w:rFonts w:hint="eastAsia" w:ascii="黑体" w:hAnsi="黑体" w:eastAsia="黑体" w:cs="黑体"/>
          <w:color w:val="000000" w:themeColor="text1"/>
          <w14:textFill>
            <w14:solidFill>
              <w14:schemeClr w14:val="tx1"/>
            </w14:solidFill>
          </w14:textFill>
        </w:rPr>
        <w:t>生产加工要求</w:t>
      </w:r>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按</w:t>
      </w:r>
      <w:r>
        <w:rPr>
          <w:rFonts w:hint="eastAsia" w:asciiTheme="minorEastAsia" w:hAnsiTheme="minorEastAsia" w:eastAsiaTheme="minorEastAsia" w:cstheme="minorEastAsia"/>
          <w:kern w:val="2"/>
          <w:sz w:val="21"/>
          <w:szCs w:val="21"/>
        </w:rPr>
        <w:t>GB 14881</w:t>
      </w:r>
      <w:r>
        <w:rPr>
          <w:rFonts w:hint="eastAsia" w:asciiTheme="minorEastAsia" w:hAnsiTheme="minorEastAsia" w:eastAsiaTheme="minorEastAsia" w:cstheme="minorEastAsia"/>
          <w:color w:val="000000" w:themeColor="text1"/>
          <w14:textFill>
            <w14:solidFill>
              <w14:schemeClr w14:val="tx1"/>
            </w14:solidFill>
          </w14:textFill>
        </w:rPr>
        <w:t>规定的方法执行。</w:t>
      </w: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rPr>
      </w:pPr>
      <w:bookmarkStart w:id="32" w:name="_Toc17037"/>
      <w:bookmarkStart w:id="33" w:name="_Toc14580"/>
      <w:bookmarkStart w:id="34" w:name="_Toc26444"/>
      <w:r>
        <w:rPr>
          <w:rFonts w:hint="eastAsia"/>
          <w:lang w:val="en-US" w:eastAsia="zh-CN"/>
        </w:rPr>
        <w:t xml:space="preserve">7  </w:t>
      </w:r>
      <w:r>
        <w:rPr>
          <w:rFonts w:hint="eastAsia"/>
        </w:rPr>
        <w:t>检验规则</w:t>
      </w:r>
      <w:bookmarkEnd w:id="32"/>
      <w:bookmarkEnd w:id="33"/>
      <w:bookmarkEnd w:id="34"/>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7.1  </w:t>
      </w:r>
      <w:r>
        <w:rPr>
          <w:rFonts w:hint="eastAsia"/>
        </w:rPr>
        <w:t>组批</w:t>
      </w:r>
    </w:p>
    <w:p>
      <w:pPr>
        <w:pStyle w:val="22"/>
        <w:keepNext w:val="0"/>
        <w:keepLines w:val="0"/>
        <w:pageBreakBefore w:val="0"/>
        <w:kinsoku/>
        <w:wordWrap/>
        <w:overflowPunct/>
        <w:topLinePunct w:val="0"/>
        <w:bidi w:val="0"/>
        <w:adjustRightInd/>
        <w:snapToGrid/>
        <w:ind w:leftChars="0"/>
        <w:textAlignment w:val="auto"/>
      </w:pPr>
      <w:r>
        <w:rPr>
          <w:rFonts w:hint="eastAsia"/>
        </w:rPr>
        <w:t>以同一班次生产的同一品种、同一规格的产品为一批。</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7.2  </w:t>
      </w:r>
      <w:r>
        <w:rPr>
          <w:rFonts w:hint="eastAsia"/>
        </w:rPr>
        <w:t>抽样</w:t>
      </w:r>
    </w:p>
    <w:p>
      <w:pPr>
        <w:pStyle w:val="22"/>
        <w:keepNext w:val="0"/>
        <w:keepLines w:val="0"/>
        <w:pageBreakBefore w:val="0"/>
        <w:kinsoku/>
        <w:wordWrap/>
        <w:overflowPunct/>
        <w:topLinePunct w:val="0"/>
        <w:bidi w:val="0"/>
        <w:adjustRightInd/>
        <w:snapToGrid/>
        <w:ind w:left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从成品库同批产品的不同部位随机抽取</w:t>
      </w:r>
      <w:r>
        <w:rPr>
          <w:rFonts w:hint="eastAsia" w:asciiTheme="minorEastAsia" w:hAnsiTheme="minorEastAsia" w:eastAsiaTheme="minorEastAsia" w:cstheme="minorEastAsia"/>
          <w:kern w:val="2"/>
          <w:sz w:val="21"/>
          <w:szCs w:val="21"/>
        </w:rPr>
        <w:t>样品2.</w:t>
      </w:r>
      <w:r>
        <w:rPr>
          <w:rFonts w:hint="eastAsia" w:asciiTheme="minorEastAsia" w:hAnsiTheme="minorEastAsia" w:eastAsiaTheme="minorEastAsia" w:cstheme="minorEastAsia"/>
          <w:kern w:val="2"/>
          <w:sz w:val="21"/>
          <w:szCs w:val="21"/>
          <w:lang w:val="en-US" w:eastAsia="zh-CN"/>
        </w:rPr>
        <w:t>0</w:t>
      </w:r>
      <w:r>
        <w:rPr>
          <w:rFonts w:hint="eastAsia" w:asciiTheme="minorEastAsia" w:hAnsiTheme="minorEastAsia" w:eastAsiaTheme="minorEastAsia" w:cstheme="minorEastAsia"/>
          <w:kern w:val="2"/>
          <w:sz w:val="21"/>
          <w:szCs w:val="21"/>
        </w:rPr>
        <w:t>kg。</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7.3  </w:t>
      </w:r>
      <w:r>
        <w:rPr>
          <w:rFonts w:hint="eastAsia"/>
        </w:rPr>
        <w:t>检验</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7.3.1  </w:t>
      </w:r>
      <w:r>
        <w:rPr>
          <w:rFonts w:hint="eastAsia"/>
        </w:rPr>
        <w:t>出厂检验</w:t>
      </w:r>
    </w:p>
    <w:p>
      <w:pPr>
        <w:pStyle w:val="35"/>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hint="eastAsia" w:ascii="宋体" w:hAnsi="宋体" w:eastAsia="宋体"/>
          <w:lang w:eastAsia="zh-CN"/>
        </w:rPr>
      </w:pPr>
      <w:r>
        <w:rPr>
          <w:rFonts w:hint="eastAsia" w:hAnsi="黑体" w:cs="黑体"/>
          <w:lang w:val="en-US" w:eastAsia="zh-CN"/>
        </w:rPr>
        <w:t xml:space="preserve">7.3.1.1  </w:t>
      </w:r>
      <w:r>
        <w:rPr>
          <w:rFonts w:hint="eastAsia" w:ascii="宋体" w:hAnsi="宋体" w:eastAsia="宋体"/>
        </w:rPr>
        <w:t>产品出厂前，应由生产企业检验合格并签发质量合格证明方可出厂</w:t>
      </w:r>
      <w:r>
        <w:rPr>
          <w:rFonts w:hint="eastAsia" w:ascii="宋体" w:hAnsi="宋体" w:eastAsia="宋体"/>
          <w:lang w:eastAsia="zh-CN"/>
        </w:rPr>
        <w:t>。</w:t>
      </w:r>
    </w:p>
    <w:p>
      <w:pPr>
        <w:pStyle w:val="3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945" w:leftChars="0" w:hanging="945" w:hangingChars="450"/>
        <w:textAlignment w:val="auto"/>
        <w:rPr>
          <w:rFonts w:ascii="宋体" w:hAnsi="宋体" w:eastAsia="宋体"/>
        </w:rPr>
      </w:pPr>
      <w:r>
        <w:rPr>
          <w:rFonts w:hint="eastAsia" w:hAnsi="黑体" w:cs="黑体"/>
          <w:lang w:val="en-US" w:eastAsia="zh-CN"/>
        </w:rPr>
        <w:t>7</w:t>
      </w:r>
      <w:r>
        <w:rPr>
          <w:rFonts w:hint="eastAsia" w:ascii="黑体" w:hAnsi="黑体" w:eastAsia="黑体" w:cs="黑体"/>
          <w:lang w:val="en-US" w:eastAsia="zh-CN"/>
        </w:rPr>
        <w:t>.3.1.2</w:t>
      </w:r>
      <w:r>
        <w:rPr>
          <w:rFonts w:hint="eastAsia" w:cs="黑体"/>
          <w:lang w:val="en-US" w:eastAsia="zh-CN"/>
        </w:rPr>
        <w:t xml:space="preserve">  </w:t>
      </w:r>
      <w:r>
        <w:rPr>
          <w:rFonts w:hint="eastAsia" w:ascii="宋体" w:hAnsi="宋体" w:eastAsia="宋体"/>
        </w:rPr>
        <w:t>检验项目为感官</w:t>
      </w:r>
      <w:r>
        <w:rPr>
          <w:rFonts w:hint="eastAsia" w:ascii="宋体" w:hAnsi="宋体" w:eastAsia="宋体"/>
          <w:lang w:eastAsia="zh-CN"/>
        </w:rPr>
        <w:t>要求，理化指标中的</w:t>
      </w:r>
      <w:r>
        <w:rPr>
          <w:rFonts w:hint="eastAsia" w:ascii="宋体" w:hAnsi="宋体" w:eastAsia="宋体"/>
        </w:rPr>
        <w:t>水分、出仁率、</w:t>
      </w:r>
      <w:r>
        <w:rPr>
          <w:rFonts w:hint="eastAsia" w:asciiTheme="minorEastAsia" w:hAnsiTheme="minorEastAsia" w:eastAsiaTheme="minorEastAsia" w:cstheme="minorEastAsia"/>
          <w:sz w:val="21"/>
          <w:szCs w:val="21"/>
          <w:lang w:eastAsia="zh-CN"/>
        </w:rPr>
        <w:t>空瘪果</w:t>
      </w:r>
      <w:r>
        <w:rPr>
          <w:rFonts w:hint="eastAsia" w:asciiTheme="minorEastAsia" w:hAnsiTheme="minorEastAsia" w:eastAsiaTheme="minorEastAsia" w:cstheme="minorEastAsia"/>
          <w:sz w:val="21"/>
          <w:szCs w:val="21"/>
        </w:rPr>
        <w:t>率</w:t>
      </w:r>
      <w:r>
        <w:rPr>
          <w:rFonts w:hint="eastAsia" w:ascii="宋体" w:hAnsi="宋体" w:eastAsia="宋体"/>
        </w:rPr>
        <w:t>、</w:t>
      </w:r>
      <w:r>
        <w:rPr>
          <w:rFonts w:hint="eastAsia" w:asciiTheme="minorEastAsia" w:hAnsiTheme="minorEastAsia" w:eastAsiaTheme="minorEastAsia" w:cstheme="minorEastAsia"/>
          <w:sz w:val="21"/>
          <w:szCs w:val="21"/>
          <w:lang w:eastAsia="zh-CN"/>
        </w:rPr>
        <w:t>虫蛀果</w:t>
      </w:r>
      <w:r>
        <w:rPr>
          <w:rFonts w:hint="eastAsia" w:asciiTheme="minorEastAsia" w:hAnsiTheme="minorEastAsia" w:eastAsiaTheme="minorEastAsia" w:cstheme="minorEastAsia"/>
          <w:sz w:val="21"/>
          <w:szCs w:val="21"/>
        </w:rPr>
        <w:t>率</w:t>
      </w:r>
      <w:r>
        <w:rPr>
          <w:rFonts w:hint="eastAsia" w:asciiTheme="minorEastAsia" w:hAnsiTheme="minorEastAsia" w:eastAsiaTheme="minorEastAsia" w:cstheme="minorEastAsia"/>
          <w:sz w:val="21"/>
          <w:szCs w:val="21"/>
          <w:lang w:eastAsia="zh-CN"/>
        </w:rPr>
        <w:t>、</w:t>
      </w:r>
      <w:r>
        <w:rPr>
          <w:rFonts w:hint="eastAsia" w:ascii="宋体" w:hAnsi="宋体" w:eastAsia="宋体"/>
        </w:rPr>
        <w:t>杂质</w:t>
      </w:r>
      <w:r>
        <w:rPr>
          <w:rFonts w:hint="eastAsia" w:ascii="宋体" w:hAnsi="宋体" w:eastAsia="宋体"/>
          <w:lang w:eastAsia="zh-CN"/>
        </w:rPr>
        <w:t>，</w:t>
      </w:r>
      <w:r>
        <w:rPr>
          <w:rFonts w:hint="eastAsia" w:ascii="宋体" w:hAnsi="宋体" w:eastAsia="宋体"/>
        </w:rPr>
        <w:t>净含量</w:t>
      </w:r>
      <w:r>
        <w:rPr>
          <w:rFonts w:hint="eastAsia" w:ascii="宋体" w:hAnsi="宋体" w:eastAsia="宋体"/>
          <w:lang w:eastAsia="zh-CN"/>
        </w:rPr>
        <w:t>。</w:t>
      </w:r>
    </w:p>
    <w:p>
      <w:pPr>
        <w:pStyle w:val="27"/>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pPr>
      <w:r>
        <w:rPr>
          <w:rFonts w:hint="eastAsia"/>
          <w:lang w:val="en-US" w:eastAsia="zh-CN"/>
        </w:rPr>
        <w:t xml:space="preserve">7.3.2  </w:t>
      </w:r>
      <w:r>
        <w:rPr>
          <w:rFonts w:hint="eastAsia"/>
        </w:rPr>
        <w:t>型式检验</w:t>
      </w:r>
    </w:p>
    <w:p>
      <w:pPr>
        <w:pStyle w:val="35"/>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hint="eastAsia" w:ascii="宋体" w:hAnsi="宋体" w:eastAsia="宋体"/>
          <w:lang w:eastAsia="zh-CN"/>
        </w:rPr>
      </w:pPr>
      <w:r>
        <w:rPr>
          <w:rFonts w:hint="eastAsia" w:hAnsi="黑体" w:cs="黑体"/>
          <w:lang w:val="en-US" w:eastAsia="zh-CN"/>
        </w:rPr>
        <w:t>7</w:t>
      </w:r>
      <w:r>
        <w:rPr>
          <w:rFonts w:hint="eastAsia" w:ascii="黑体" w:hAnsi="黑体" w:eastAsia="黑体" w:cs="黑体"/>
          <w:lang w:val="en-US" w:eastAsia="zh-CN"/>
        </w:rPr>
        <w:t>.3.2.1</w:t>
      </w:r>
      <w:r>
        <w:rPr>
          <w:rFonts w:hint="eastAsia" w:hAnsi="黑体" w:cs="黑体"/>
          <w:lang w:val="en-US" w:eastAsia="zh-CN"/>
        </w:rPr>
        <w:t xml:space="preserve">  </w:t>
      </w:r>
      <w:r>
        <w:rPr>
          <w:rFonts w:hint="eastAsia" w:ascii="宋体" w:hAnsi="宋体" w:eastAsia="宋体"/>
        </w:rPr>
        <w:t>型式检验每半年进行一次。有下列情况之一时，亦应进行</w:t>
      </w:r>
      <w:r>
        <w:rPr>
          <w:rFonts w:hint="eastAsia" w:ascii="宋体" w:hAnsi="宋体" w:eastAsia="宋体"/>
          <w:lang w:eastAsia="zh-CN"/>
        </w:rPr>
        <w:t>。</w:t>
      </w:r>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eastAsia="宋体"/>
          <w:lang w:eastAsia="zh-CN"/>
        </w:rPr>
      </w:pPr>
      <w:r>
        <w:rPr>
          <w:rFonts w:hint="eastAsia"/>
          <w:lang w:val="en-US" w:eastAsia="zh-CN"/>
        </w:rPr>
        <w:t>a）</w:t>
      </w:r>
      <w:r>
        <w:rPr>
          <w:rFonts w:hint="eastAsia"/>
        </w:rPr>
        <w:t>工艺或原料发生重大改变时</w:t>
      </w:r>
      <w:r>
        <w:rPr>
          <w:rFonts w:hint="eastAsia"/>
          <w:lang w:eastAsia="zh-CN"/>
        </w:rPr>
        <w:t>；</w:t>
      </w:r>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eastAsia="宋体"/>
          <w:lang w:eastAsia="zh-CN"/>
        </w:rPr>
      </w:pPr>
      <w:r>
        <w:rPr>
          <w:rFonts w:hint="eastAsia" w:asciiTheme="minorEastAsia" w:hAnsiTheme="minorEastAsia" w:eastAsiaTheme="minorEastAsia" w:cstheme="minorEastAsia"/>
          <w:lang w:val="en-US" w:eastAsia="zh-CN"/>
        </w:rPr>
        <w:t>b</w:t>
      </w:r>
      <w:r>
        <w:rPr>
          <w:rFonts w:hint="eastAsia" w:ascii="黑体" w:hAnsi="黑体" w:eastAsia="黑体" w:cs="黑体"/>
          <w:lang w:val="en-US" w:eastAsia="zh-CN"/>
        </w:rPr>
        <w:t>）</w:t>
      </w:r>
      <w:r>
        <w:rPr>
          <w:rFonts w:hint="eastAsia"/>
        </w:rPr>
        <w:t>产品投产鉴定时</w:t>
      </w:r>
      <w:r>
        <w:rPr>
          <w:rFonts w:hint="eastAsia"/>
          <w:lang w:eastAsia="zh-CN"/>
        </w:rPr>
        <w:t>；</w:t>
      </w:r>
    </w:p>
    <w:p>
      <w:pPr>
        <w:pStyle w:val="22"/>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rPr>
        <w:t>停产6个月以上再生产时</w:t>
      </w:r>
      <w:r>
        <w:rPr>
          <w:rFonts w:hint="eastAsia" w:asciiTheme="minorEastAsia" w:hAnsiTheme="minorEastAsia" w:eastAsiaTheme="minorEastAsia" w:cstheme="minorEastAsia"/>
          <w:lang w:eastAsia="zh-CN"/>
        </w:rPr>
        <w:t>；</w:t>
      </w:r>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d）</w:t>
      </w:r>
      <w:r>
        <w:rPr>
          <w:rFonts w:hint="eastAsia" w:ascii="宋体" w:hAnsi="宋体" w:cs="宋体"/>
          <w:sz w:val="21"/>
          <w:szCs w:val="21"/>
          <w:lang w:eastAsia="zh-CN"/>
        </w:rPr>
        <w:t>客户有</w:t>
      </w:r>
      <w:r>
        <w:rPr>
          <w:rFonts w:hint="eastAsia" w:ascii="宋体" w:hAnsi="宋体" w:eastAsia="宋体" w:cs="宋体"/>
          <w:sz w:val="21"/>
          <w:szCs w:val="21"/>
        </w:rPr>
        <w:t>型式检验</w:t>
      </w:r>
      <w:r>
        <w:rPr>
          <w:rFonts w:hint="eastAsia" w:ascii="宋体" w:hAnsi="宋体" w:eastAsia="宋体" w:cs="宋体"/>
          <w:sz w:val="21"/>
          <w:szCs w:val="21"/>
          <w:lang w:eastAsia="zh-CN"/>
        </w:rPr>
        <w:t>要求</w:t>
      </w:r>
      <w:r>
        <w:rPr>
          <w:rFonts w:hint="eastAsia" w:ascii="宋体" w:hAnsi="宋体" w:eastAsia="宋体" w:cs="宋体"/>
          <w:sz w:val="21"/>
          <w:szCs w:val="21"/>
        </w:rPr>
        <w:t>时</w:t>
      </w:r>
      <w:r>
        <w:rPr>
          <w:rFonts w:hint="eastAsia" w:ascii="宋体" w:hAnsi="宋体" w:cs="宋体"/>
          <w:sz w:val="21"/>
          <w:szCs w:val="21"/>
          <w:lang w:eastAsia="zh-CN"/>
        </w:rPr>
        <w:t>；</w:t>
      </w:r>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e）</w:t>
      </w:r>
      <w:r>
        <w:rPr>
          <w:rFonts w:hint="eastAsia" w:ascii="宋体" w:hAnsi="宋体" w:eastAsia="宋体" w:cs="宋体"/>
          <w:sz w:val="21"/>
          <w:szCs w:val="21"/>
        </w:rPr>
        <w:t>供需双方对产品质量有争议，请第三方进行仲裁时</w:t>
      </w:r>
      <w:r>
        <w:rPr>
          <w:rFonts w:hint="eastAsia" w:ascii="宋体" w:hAnsi="宋体" w:cs="宋体"/>
          <w:sz w:val="21"/>
          <w:szCs w:val="21"/>
          <w:lang w:eastAsia="zh-CN"/>
        </w:rPr>
        <w:t>；</w:t>
      </w:r>
    </w:p>
    <w:p>
      <w:pPr>
        <w:pStyle w:val="22"/>
        <w:keepNext w:val="0"/>
        <w:keepLines w:val="0"/>
        <w:pageBreakBefore w:val="0"/>
        <w:kinsoku/>
        <w:wordWrap/>
        <w:overflowPunct/>
        <w:topLinePunct w:val="0"/>
        <w:bidi w:val="0"/>
        <w:adjustRightInd/>
        <w:snapToGrid/>
        <w:textAlignment w:val="auto"/>
        <w:rPr>
          <w:sz w:val="20"/>
          <w:szCs w:val="20"/>
        </w:rPr>
      </w:pPr>
      <w:r>
        <w:rPr>
          <w:rFonts w:hint="eastAsia" w:asciiTheme="minorEastAsia" w:hAnsiTheme="minorEastAsia" w:eastAsiaTheme="minorEastAsia" w:cstheme="minorEastAsia"/>
          <w:lang w:val="en-US" w:eastAsia="zh-CN"/>
        </w:rPr>
        <w:t>f）</w:t>
      </w:r>
      <w:r>
        <w:rPr>
          <w:rFonts w:hint="eastAsia"/>
        </w:rPr>
        <w:t>国家质量监督机构提出要求时。</w:t>
      </w:r>
    </w:p>
    <w:p>
      <w:pPr>
        <w:pStyle w:val="35"/>
        <w:keepNext w:val="0"/>
        <w:keepLines w:val="0"/>
        <w:pageBreakBefore w:val="0"/>
        <w:numPr>
          <w:ilvl w:val="2"/>
          <w:numId w:val="0"/>
        </w:numPr>
        <w:kinsoku/>
        <w:wordWrap/>
        <w:overflowPunct/>
        <w:topLinePunct w:val="0"/>
        <w:bidi w:val="0"/>
        <w:adjustRightInd/>
        <w:snapToGrid/>
        <w:spacing w:before="0" w:beforeLines="0" w:after="0" w:afterLines="0"/>
        <w:ind w:leftChars="0"/>
        <w:textAlignment w:val="auto"/>
        <w:rPr>
          <w:rFonts w:ascii="宋体" w:hAnsi="宋体" w:eastAsia="宋体"/>
        </w:rPr>
      </w:pPr>
      <w:r>
        <w:rPr>
          <w:rFonts w:hint="eastAsia" w:hAnsi="黑体" w:cs="黑体"/>
          <w:lang w:val="en-US" w:eastAsia="zh-CN"/>
        </w:rPr>
        <w:t>7</w:t>
      </w:r>
      <w:r>
        <w:rPr>
          <w:rFonts w:hint="eastAsia" w:ascii="黑体" w:hAnsi="黑体" w:eastAsia="黑体" w:cs="黑体"/>
          <w:lang w:val="en-US" w:eastAsia="zh-CN"/>
        </w:rPr>
        <w:t>.3.2.2</w:t>
      </w:r>
      <w:r>
        <w:rPr>
          <w:rFonts w:hint="eastAsia" w:hAnsi="黑体" w:cs="黑体"/>
          <w:lang w:val="en-US" w:eastAsia="zh-CN"/>
        </w:rPr>
        <w:t xml:space="preserve">  </w:t>
      </w:r>
      <w:r>
        <w:rPr>
          <w:rFonts w:hint="eastAsia" w:ascii="宋体" w:hAnsi="宋体" w:eastAsia="宋体"/>
        </w:rPr>
        <w:t>型式检验项目</w:t>
      </w:r>
    </w:p>
    <w:p>
      <w:pPr>
        <w:pStyle w:val="35"/>
        <w:keepNext w:val="0"/>
        <w:keepLines w:val="0"/>
        <w:pageBreakBefore w:val="0"/>
        <w:numPr>
          <w:ilvl w:val="2"/>
          <w:numId w:val="0"/>
        </w:numPr>
        <w:kinsoku/>
        <w:wordWrap/>
        <w:overflowPunct/>
        <w:topLinePunct w:val="0"/>
        <w:bidi w:val="0"/>
        <w:adjustRightInd/>
        <w:snapToGrid/>
        <w:spacing w:before="0" w:beforeLines="0" w:after="0" w:afterLines="0"/>
        <w:ind w:leftChars="0" w:firstLine="420" w:firstLineChars="200"/>
        <w:textAlignment w:val="auto"/>
        <w:rPr>
          <w:rFonts w:ascii="宋体" w:hAnsi="宋体" w:eastAsia="宋体"/>
        </w:rPr>
      </w:pPr>
      <w:r>
        <w:rPr>
          <w:rFonts w:hint="eastAsia" w:ascii="宋体" w:hAnsi="宋体" w:eastAsia="宋体"/>
        </w:rPr>
        <w:t>本</w:t>
      </w:r>
      <w:r>
        <w:rPr>
          <w:rFonts w:hint="eastAsia" w:ascii="宋体" w:hAnsi="宋体" w:eastAsia="宋体"/>
          <w:lang w:eastAsia="zh-CN"/>
        </w:rPr>
        <w:t>文件</w:t>
      </w:r>
      <w:r>
        <w:rPr>
          <w:rFonts w:hint="eastAsia" w:ascii="宋体" w:hAnsi="宋体" w:eastAsia="宋体"/>
        </w:rPr>
        <w:t>要求中规定的全部项目。</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 xml:space="preserve">7.4  </w:t>
      </w:r>
      <w:r>
        <w:rPr>
          <w:rFonts w:hint="eastAsia"/>
        </w:rPr>
        <w:t>判定规则</w:t>
      </w:r>
    </w:p>
    <w:p>
      <w:pPr>
        <w:pStyle w:val="22"/>
        <w:keepNext w:val="0"/>
        <w:keepLines w:val="0"/>
        <w:pageBreakBefore w:val="0"/>
        <w:kinsoku/>
        <w:wordWrap/>
        <w:overflowPunct/>
        <w:topLinePunct w:val="0"/>
        <w:bidi w:val="0"/>
        <w:adjustRightInd/>
        <w:snapToGrid/>
        <w:textAlignment w:val="auto"/>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、农药残留</w:t>
      </w:r>
      <w:r>
        <w:rPr>
          <w:rFonts w:hint="eastAsia"/>
          <w:lang w:eastAsia="zh-CN"/>
        </w:rPr>
        <w:t>限量</w:t>
      </w:r>
      <w:r>
        <w:rPr>
          <w:rFonts w:hint="eastAsia"/>
        </w:rPr>
        <w:t>、微生物</w:t>
      </w:r>
      <w:r>
        <w:rPr>
          <w:rFonts w:hint="eastAsia"/>
          <w:lang w:eastAsia="zh-CN"/>
        </w:rPr>
        <w:t>限量</w:t>
      </w:r>
      <w:r>
        <w:rPr>
          <w:rFonts w:hint="eastAsia"/>
        </w:rPr>
        <w:t>指标不得复检。</w:t>
      </w:r>
    </w:p>
    <w:p>
      <w:pPr>
        <w:pStyle w:val="22"/>
        <w:keepNext w:val="0"/>
        <w:keepLines w:val="0"/>
        <w:pageBreakBefore w:val="0"/>
        <w:kinsoku/>
        <w:wordWrap/>
        <w:overflowPunct/>
        <w:topLinePunct w:val="0"/>
        <w:bidi w:val="0"/>
        <w:adjustRightInd/>
        <w:snapToGrid/>
        <w:textAlignment w:val="auto"/>
        <w:rPr>
          <w:rFonts w:hint="eastAsia"/>
        </w:rPr>
      </w:pPr>
    </w:p>
    <w:p>
      <w:pPr>
        <w:pStyle w:val="25"/>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Chars="0"/>
        <w:textAlignment w:val="auto"/>
        <w:outlineLvl w:val="0"/>
        <w:rPr>
          <w:rFonts w:hint="eastAsia"/>
        </w:rPr>
      </w:pPr>
      <w:bookmarkStart w:id="35" w:name="_Toc7908"/>
      <w:bookmarkStart w:id="36" w:name="_Toc28519"/>
      <w:bookmarkStart w:id="37" w:name="_Toc28012"/>
      <w:r>
        <w:rPr>
          <w:rFonts w:hint="eastAsia"/>
          <w:lang w:val="en-US" w:eastAsia="zh-CN"/>
        </w:rPr>
        <w:t>8</w:t>
      </w:r>
      <w:r>
        <w:rPr>
          <w:rFonts w:hint="eastAsia"/>
        </w:rPr>
        <w:t>标志、包装、运输、贮存</w:t>
      </w:r>
      <w:bookmarkEnd w:id="35"/>
      <w:bookmarkEnd w:id="36"/>
      <w:bookmarkEnd w:id="37"/>
    </w:p>
    <w:p>
      <w:pPr>
        <w:pStyle w:val="22"/>
      </w:pP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8.1</w:t>
      </w:r>
      <w:r>
        <w:rPr>
          <w:rFonts w:hint="eastAsia"/>
        </w:rPr>
        <w:t>标志</w:t>
      </w:r>
    </w:p>
    <w:p>
      <w:pPr>
        <w:keepNext w:val="0"/>
        <w:keepLines w:val="0"/>
        <w:pageBreakBefore w:val="0"/>
        <w:kinsoku/>
        <w:wordWrap/>
        <w:overflowPunct/>
        <w:topLinePunct w:val="0"/>
        <w:bidi w:val="0"/>
        <w:adjustRightInd/>
        <w:snapToGrid/>
        <w:ind w:leftChars="0"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标签</w:t>
      </w:r>
      <w:r>
        <w:rPr>
          <w:rFonts w:hint="eastAsia" w:asciiTheme="minorEastAsia" w:hAnsiTheme="minorEastAsia" w:eastAsiaTheme="minorEastAsia" w:cstheme="minorEastAsia"/>
          <w:lang w:eastAsia="zh-CN"/>
        </w:rPr>
        <w:t>标注</w:t>
      </w:r>
      <w:r>
        <w:rPr>
          <w:rFonts w:hint="eastAsia" w:asciiTheme="minorEastAsia" w:hAnsiTheme="minorEastAsia" w:eastAsiaTheme="minorEastAsia" w:cstheme="minorEastAsia"/>
        </w:rPr>
        <w:t>应符合</w:t>
      </w:r>
      <w:r>
        <w:rPr>
          <w:rFonts w:hint="eastAsia" w:asciiTheme="minorEastAsia" w:hAnsiTheme="minorEastAsia" w:eastAsiaTheme="minorEastAsia" w:cstheme="minorEastAsia"/>
          <w:kern w:val="2"/>
          <w:sz w:val="21"/>
          <w:szCs w:val="21"/>
          <w:lang w:val="en-US" w:eastAsia="zh-CN" w:bidi="ar-SA"/>
        </w:rPr>
        <w:t>GB 7718、GB 28050规定。</w:t>
      </w:r>
      <w:r>
        <w:rPr>
          <w:rFonts w:hint="eastAsia" w:asciiTheme="minorEastAsia" w:hAnsiTheme="minorEastAsia" w:eastAsiaTheme="minorEastAsia" w:cstheme="minorEastAsia"/>
          <w:sz w:val="21"/>
          <w:szCs w:val="21"/>
        </w:rPr>
        <w:t>获准使用地理标志产品专用标志的生产者 ,可在其产品包装上使用地理标志产品专用标志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标志的使用应符合《地理标志专用标志使用管理办法(试行)》。产品名称应按本文件规定的名称标注。</w:t>
      </w:r>
      <w:r>
        <w:rPr>
          <w:rFonts w:hint="eastAsia" w:asciiTheme="minorEastAsia" w:hAnsiTheme="minorEastAsia" w:eastAsiaTheme="minorEastAsia" w:cstheme="minorEastAsia"/>
          <w:sz w:val="21"/>
          <w:szCs w:val="21"/>
          <w:lang w:eastAsia="zh-CN"/>
        </w:rPr>
        <w:t>外包装标注应符合</w:t>
      </w:r>
      <w:r>
        <w:rPr>
          <w:rFonts w:hint="eastAsia" w:asciiTheme="minorEastAsia" w:hAnsiTheme="minorEastAsia" w:eastAsiaTheme="minorEastAsia" w:cstheme="minorEastAsia"/>
          <w:kern w:val="2"/>
          <w:sz w:val="21"/>
          <w:szCs w:val="21"/>
          <w:lang w:val="en-US" w:eastAsia="zh-CN" w:bidi="ar-SA"/>
        </w:rPr>
        <w:t>GB/T 191</w:t>
      </w:r>
      <w:r>
        <w:rPr>
          <w:rFonts w:hint="eastAsia" w:asciiTheme="minorEastAsia" w:hAnsiTheme="minorEastAsia" w:eastAsiaTheme="minorEastAsia" w:cstheme="minorEastAsia"/>
          <w:kern w:val="2"/>
          <w:sz w:val="21"/>
          <w:szCs w:val="21"/>
          <w:lang w:eastAsia="zh-CN"/>
        </w:rPr>
        <w:t>的规定。</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8.2</w:t>
      </w:r>
      <w:r>
        <w:rPr>
          <w:rFonts w:hint="eastAsia"/>
        </w:rPr>
        <w:t>包装</w:t>
      </w:r>
    </w:p>
    <w:p>
      <w:pPr>
        <w:pStyle w:val="22"/>
        <w:keepNext w:val="0"/>
        <w:keepLines w:val="0"/>
        <w:pageBreakBefore w:val="0"/>
        <w:kinsoku/>
        <w:wordWrap/>
        <w:overflowPunct/>
        <w:topLinePunct w:val="0"/>
        <w:bidi w:val="0"/>
        <w:adjustRightInd/>
        <w:snapToGrid/>
        <w:ind w:left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外包装采用瓦楞纸箱包装，质量应</w:t>
      </w:r>
      <w:r>
        <w:rPr>
          <w:rFonts w:hint="eastAsia" w:asciiTheme="minorEastAsia" w:hAnsiTheme="minorEastAsia" w:eastAsiaTheme="minorEastAsia" w:cstheme="minorEastAsia"/>
          <w:kern w:val="2"/>
          <w:sz w:val="21"/>
          <w:szCs w:val="21"/>
        </w:rPr>
        <w:t>符合GB/T 6543的</w:t>
      </w:r>
      <w:r>
        <w:rPr>
          <w:rFonts w:hint="eastAsia" w:asciiTheme="minorEastAsia" w:hAnsiTheme="minorEastAsia" w:eastAsiaTheme="minorEastAsia" w:cstheme="minorEastAsia"/>
        </w:rPr>
        <w:t>规定。小包装采用塑料袋包装，质量应符</w:t>
      </w:r>
      <w:r>
        <w:rPr>
          <w:rFonts w:hint="eastAsia" w:asciiTheme="minorEastAsia" w:hAnsiTheme="minorEastAsia" w:eastAsiaTheme="minorEastAsia" w:cstheme="minorEastAsia"/>
          <w:kern w:val="2"/>
          <w:sz w:val="21"/>
          <w:szCs w:val="21"/>
        </w:rPr>
        <w:t>合GB 4806.7</w:t>
      </w:r>
      <w:r>
        <w:rPr>
          <w:rFonts w:hint="eastAsia" w:asciiTheme="minorEastAsia" w:hAnsiTheme="minorEastAsia" w:eastAsiaTheme="minorEastAsia" w:cstheme="minorEastAsia"/>
        </w:rPr>
        <w:t>的规定。</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8.3</w:t>
      </w:r>
      <w:r>
        <w:rPr>
          <w:rFonts w:hint="eastAsia"/>
        </w:rPr>
        <w:t>运输</w:t>
      </w:r>
    </w:p>
    <w:p>
      <w:pPr>
        <w:pStyle w:val="22"/>
        <w:keepNext w:val="0"/>
        <w:keepLines w:val="0"/>
        <w:pageBreakBefore w:val="0"/>
        <w:kinsoku/>
        <w:wordWrap/>
        <w:overflowPunct/>
        <w:topLinePunct w:val="0"/>
        <w:bidi w:val="0"/>
        <w:adjustRightInd/>
        <w:snapToGrid/>
        <w:ind w:leftChars="0"/>
        <w:textAlignment w:val="auto"/>
      </w:pPr>
      <w:r>
        <w:rPr>
          <w:rFonts w:hint="eastAsia"/>
        </w:rPr>
        <w:t>运输工具必须清洁、卫生、防潮、防雨。</w:t>
      </w:r>
    </w:p>
    <w:p>
      <w:pPr>
        <w:pStyle w:val="26"/>
        <w:keepNext w:val="0"/>
        <w:keepLines w:val="0"/>
        <w:pageBreakBefore w:val="0"/>
        <w:widowControl/>
        <w:numPr>
          <w:ilvl w:val="1"/>
          <w:numId w:val="0"/>
        </w:numPr>
        <w:kinsoku/>
        <w:wordWrap/>
        <w:overflowPunct/>
        <w:topLinePunct w:val="0"/>
        <w:bidi w:val="0"/>
        <w:adjustRightInd/>
        <w:snapToGrid/>
        <w:spacing w:before="157" w:beforeLines="50" w:after="157" w:afterLines="50"/>
        <w:ind w:leftChars="0"/>
        <w:textAlignment w:val="auto"/>
      </w:pPr>
      <w:r>
        <w:rPr>
          <w:rFonts w:hint="eastAsia"/>
          <w:lang w:val="en-US" w:eastAsia="zh-CN"/>
        </w:rPr>
        <w:t>8.4</w:t>
      </w:r>
      <w:r>
        <w:rPr>
          <w:rFonts w:hint="eastAsia"/>
        </w:rPr>
        <w:t>贮存</w:t>
      </w:r>
    </w:p>
    <w:p>
      <w:pPr>
        <w:pStyle w:val="22"/>
        <w:keepNext w:val="0"/>
        <w:keepLines w:val="0"/>
        <w:pageBreakBefore w:val="0"/>
        <w:kinsoku/>
        <w:wordWrap/>
        <w:overflowPunct/>
        <w:topLinePunct w:val="0"/>
        <w:bidi w:val="0"/>
        <w:adjustRightInd/>
        <w:snapToGrid/>
        <w:ind w:left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产品应</w:t>
      </w:r>
      <w:r>
        <w:rPr>
          <w:rFonts w:hint="eastAsia" w:asciiTheme="minorEastAsia" w:hAnsiTheme="minorEastAsia" w:eastAsiaTheme="minorEastAsia" w:cstheme="minorEastAsia"/>
        </w:rPr>
        <w:t>贮存于通风、干燥、防虫、防鼠的库房内</w:t>
      </w:r>
      <w:r>
        <w:rPr>
          <w:rFonts w:hint="eastAsia" w:asciiTheme="minorEastAsia" w:hAnsiTheme="minorEastAsia" w:eastAsiaTheme="minorEastAsia" w:cstheme="minorEastAsia"/>
          <w:lang w:eastAsia="zh-CN"/>
        </w:rPr>
        <w:t>，贮藏温度不宜超过</w:t>
      </w:r>
      <w:r>
        <w:rPr>
          <w:rFonts w:hint="eastAsia" w:asciiTheme="minorEastAsia" w:hAnsiTheme="minorEastAsia" w:eastAsiaTheme="minorEastAsia" w:cstheme="minorEastAsia"/>
          <w:kern w:val="2"/>
          <w:sz w:val="21"/>
          <w:szCs w:val="21"/>
          <w:lang w:val="en-US" w:eastAsia="zh-CN"/>
        </w:rPr>
        <w:t>15℃</w:t>
      </w:r>
      <w:r>
        <w:rPr>
          <w:rFonts w:hint="eastAsia" w:asciiTheme="minorEastAsia" w:hAnsiTheme="minorEastAsia" w:eastAsiaTheme="minorEastAsia" w:cstheme="minorEastAsia"/>
          <w:kern w:val="2"/>
          <w:sz w:val="21"/>
          <w:szCs w:val="21"/>
        </w:rPr>
        <w:t>。</w:t>
      </w:r>
    </w:p>
    <w:p>
      <w:pPr>
        <w:pStyle w:val="22"/>
        <w:keepNext w:val="0"/>
        <w:keepLines w:val="0"/>
        <w:pageBreakBefore w:val="0"/>
        <w:widowControl/>
        <w:kinsoku/>
        <w:wordWrap/>
        <w:overflowPunct/>
        <w:topLinePunct w:val="0"/>
        <w:bidi w:val="0"/>
        <w:adjustRightInd/>
        <w:snapToGrid/>
        <w:spacing w:before="157" w:beforeLines="50" w:after="157" w:afterLines="50"/>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8.5 保质期</w:t>
      </w:r>
    </w:p>
    <w:p>
      <w:pPr>
        <w:pStyle w:val="22"/>
        <w:keepNext w:val="0"/>
        <w:keepLines w:val="0"/>
        <w:pageBreakBefore w:val="0"/>
        <w:kinsoku/>
        <w:wordWrap/>
        <w:overflowPunct/>
        <w:topLinePunct w:val="0"/>
        <w:bidi w:val="0"/>
        <w:adjustRightInd/>
        <w:snapToGrid/>
        <w:ind w:left="0" w:leftChars="0" w:firstLine="420" w:firstLineChars="200"/>
        <w:textAlignment w:val="auto"/>
        <w:rPr>
          <w:rFonts w:hint="eastAsia" w:ascii="黑体" w:hAnsi="黑体" w:eastAsia="黑体" w:cs="黑体"/>
          <w:color w:val="auto"/>
          <w:sz w:val="21"/>
          <w:szCs w:val="21"/>
          <w:lang w:val="en-US" w:eastAsia="zh-CN"/>
        </w:rPr>
      </w:pPr>
      <w:r>
        <w:rPr>
          <w:rFonts w:hint="eastAsia" w:asciiTheme="minorEastAsia" w:hAnsiTheme="minorEastAsia" w:eastAsiaTheme="minorEastAsia" w:cstheme="minorEastAsia"/>
          <w:color w:val="auto"/>
          <w:lang w:val="en-US" w:eastAsia="zh-CN"/>
        </w:rPr>
        <w:t>产品在本文件规定的</w:t>
      </w:r>
      <w:r>
        <w:rPr>
          <w:rFonts w:hint="eastAsia" w:asciiTheme="minorEastAsia" w:hAnsiTheme="minorEastAsia" w:eastAsiaTheme="minorEastAsia" w:cstheme="minorEastAsia"/>
        </w:rPr>
        <w:t>贮存</w:t>
      </w:r>
      <w:r>
        <w:rPr>
          <w:rFonts w:hint="eastAsia" w:asciiTheme="minorEastAsia" w:hAnsiTheme="minorEastAsia" w:eastAsiaTheme="minorEastAsia" w:cstheme="minorEastAsia"/>
          <w:color w:val="auto"/>
          <w:lang w:val="en-US" w:eastAsia="zh-CN"/>
        </w:rPr>
        <w:t>条件下，保质期180天。</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br w:type="page"/>
      </w:r>
    </w:p>
    <w:p>
      <w:pPr>
        <w:jc w:val="center"/>
        <w:outlineLvl w:val="0"/>
        <w:rPr>
          <w:rFonts w:hint="eastAsia" w:ascii="黑体" w:hAnsi="黑体" w:eastAsia="黑体" w:cs="黑体"/>
          <w:sz w:val="21"/>
          <w:szCs w:val="21"/>
          <w:lang w:val="en-US" w:eastAsia="zh-CN"/>
        </w:rPr>
      </w:pPr>
      <w:bookmarkStart w:id="38" w:name="_Toc11571"/>
      <w:r>
        <w:rPr>
          <w:rFonts w:hint="eastAsia" w:ascii="黑体" w:hAnsi="黑体" w:eastAsia="黑体" w:cs="黑体"/>
          <w:sz w:val="21"/>
          <w:szCs w:val="21"/>
          <w:lang w:val="en-US" w:eastAsia="zh-CN"/>
        </w:rPr>
        <w:t>附  录  A</w:t>
      </w:r>
      <w:bookmarkEnd w:id="38"/>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桓仁大榛子地理标志产品保护范围图</w:t>
      </w:r>
    </w:p>
    <w:p>
      <w:pPr>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A.1 桓仁大榛子</w:t>
      </w:r>
      <w:r>
        <w:rPr>
          <w:rFonts w:hint="eastAsia" w:ascii="宋体" w:hAnsi="宋体" w:eastAsia="宋体" w:cs="宋体"/>
          <w:sz w:val="21"/>
          <w:szCs w:val="21"/>
          <w:lang w:val="en-US" w:eastAsia="zh-CN"/>
        </w:rPr>
        <w:t>地理标志产品保护范围见图A.1</w:t>
      </w:r>
    </w:p>
    <w:p>
      <w:pPr>
        <w:jc w:val="center"/>
        <w:rPr>
          <w:rFonts w:hint="eastAsia" w:ascii="宋体" w:hAnsi="宋体" w:eastAsia="宋体" w:cs="宋体"/>
          <w:sz w:val="21"/>
          <w:szCs w:val="21"/>
          <w:lang w:val="en-US" w:eastAsia="zh-CN"/>
        </w:rPr>
      </w:pPr>
      <w:r>
        <w:rPr>
          <w:rFonts w:hint="eastAsia" w:ascii="黑体" w:hAnsi="黑体" w:eastAsia="黑体" w:cs="黑体"/>
          <w:lang w:eastAsia="zh-CN"/>
        </w:rPr>
        <w:drawing>
          <wp:inline distT="0" distB="0" distL="114300" distR="114300">
            <wp:extent cx="5266690" cy="4304030"/>
            <wp:effectExtent l="0" t="0" r="10160" b="1270"/>
            <wp:docPr id="1" name="图片 1" descr="大榛子最终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大榛子最终版"/>
                    <pic:cNvPicPr>
                      <a:picLocks noChangeAspect="true"/>
                    </pic:cNvPicPr>
                  </pic:nvPicPr>
                  <pic:blipFill>
                    <a:blip r:embed="rId8"/>
                    <a:stretch>
                      <a:fillRect/>
                    </a:stretch>
                  </pic:blipFill>
                  <pic:spPr>
                    <a:xfrm>
                      <a:off x="0" y="0"/>
                      <a:ext cx="5266690" cy="4304030"/>
                    </a:xfrm>
                    <a:prstGeom prst="rect">
                      <a:avLst/>
                    </a:prstGeom>
                  </pic:spPr>
                </pic:pic>
              </a:graphicData>
            </a:graphic>
          </wp:inline>
        </w:drawing>
      </w:r>
    </w:p>
    <w:p>
      <w:pPr>
        <w:jc w:val="center"/>
        <w:rPr>
          <w:rFonts w:hint="default" w:ascii="宋体" w:hAnsi="宋体" w:eastAsia="宋体" w:cs="宋体"/>
          <w:sz w:val="21"/>
          <w:szCs w:val="21"/>
          <w:lang w:val="en-US" w:eastAsia="zh-CN"/>
        </w:rPr>
      </w:pPr>
      <w:r>
        <w:rPr>
          <w:rFonts w:hint="eastAsia" w:ascii="黑体" w:hAnsi="黑体" w:eastAsia="黑体" w:cs="黑体"/>
          <w:sz w:val="21"/>
          <w:szCs w:val="21"/>
          <w:lang w:val="en-US" w:eastAsia="zh-CN"/>
        </w:rPr>
        <w:t>图A.1 桓仁大榛子地理标志产品保护范围图</w:t>
      </w:r>
    </w:p>
    <w:p>
      <w:pPr>
        <w:jc w:val="center"/>
      </w:pPr>
    </w:p>
    <w:p>
      <w:pPr>
        <w:jc w:val="both"/>
        <w:rPr>
          <w:rFonts w:hint="eastAsia"/>
          <w:lang w:val="en-US" w:eastAsia="zh-CN"/>
        </w:rPr>
      </w:pPr>
      <w:r>
        <w:rPr>
          <w:rFonts w:hint="eastAsia"/>
          <w:lang w:val="en-US" w:eastAsia="zh-CN"/>
        </w:rPr>
        <w:t xml:space="preserve">                         </w:t>
      </w:r>
    </w:p>
    <w:p>
      <w:pPr>
        <w:jc w:val="both"/>
        <w:rPr>
          <w:rFonts w:hint="default"/>
          <w:u w:val="thick"/>
          <w:lang w:val="en-US" w:eastAsia="zh-CN"/>
        </w:rPr>
      </w:pPr>
      <w:r>
        <w:rPr>
          <w:rFonts w:hint="eastAsia"/>
          <w:lang w:val="en-US" w:eastAsia="zh-CN"/>
        </w:rPr>
        <w:t xml:space="preserve">                             </w:t>
      </w:r>
      <w:r>
        <w:rPr>
          <w:rFonts w:hint="eastAsia"/>
          <w:u w:val="thick"/>
          <w:lang w:val="en-US" w:eastAsia="zh-CN"/>
        </w:rPr>
        <w:t xml:space="preserve">                        </w:t>
      </w:r>
    </w:p>
    <w:sectPr>
      <w:headerReference r:id="rId5" w:type="default"/>
      <w:footerReference r:id="rId6" w:type="default"/>
      <w:pgSz w:w="11906" w:h="16838"/>
      <w:pgMar w:top="567" w:right="1134" w:bottom="1134" w:left="1417"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Ubuntu">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7350" w:firstLineChars="3500"/>
      <w:rPr>
        <w:rFonts w:hint="eastAsia" w:eastAsia="黑体"/>
        <w:lang w:eastAsia="zh-CN"/>
      </w:rPr>
    </w:pPr>
    <w:r>
      <w:rPr>
        <w:rFonts w:hint="eastAsia"/>
        <w:lang w:val="en-US" w:eastAsia="zh-CN"/>
      </w:rPr>
      <w:t>DB2105</w:t>
    </w:r>
    <w:r>
      <w:t>/</w:t>
    </w:r>
    <w:r>
      <w:rPr>
        <w:rFonts w:hint="eastAsia"/>
        <w:lang w:val="en-US" w:eastAsia="zh-CN"/>
      </w:rPr>
      <w:t>Txxx</w:t>
    </w:r>
    <w:r>
      <w:t>—20</w:t>
    </w:r>
    <w:r>
      <w:rPr>
        <w:rFonts w:hint="eastAsia"/>
      </w:rPr>
      <w:t>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3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DNhM2U5ODcyNDQyYzk1NDY5MWI2MDdhOTFmNWIifQ=="/>
  </w:docVars>
  <w:rsids>
    <w:rsidRoot w:val="ECFD4D2F"/>
    <w:rsid w:val="05992DB1"/>
    <w:rsid w:val="0BC814CA"/>
    <w:rsid w:val="0C051DDC"/>
    <w:rsid w:val="112F5B47"/>
    <w:rsid w:val="1A7A1E23"/>
    <w:rsid w:val="1BEF8F99"/>
    <w:rsid w:val="20AF5212"/>
    <w:rsid w:val="2BF761E5"/>
    <w:rsid w:val="2C29182D"/>
    <w:rsid w:val="2EFF8170"/>
    <w:rsid w:val="2FDFC3AB"/>
    <w:rsid w:val="2FFF9842"/>
    <w:rsid w:val="34E27174"/>
    <w:rsid w:val="3598340C"/>
    <w:rsid w:val="371443A4"/>
    <w:rsid w:val="3CB21257"/>
    <w:rsid w:val="3EAF5205"/>
    <w:rsid w:val="3EF706F7"/>
    <w:rsid w:val="3FE77469"/>
    <w:rsid w:val="3FFE74A9"/>
    <w:rsid w:val="46A11681"/>
    <w:rsid w:val="47946F76"/>
    <w:rsid w:val="47F45A90"/>
    <w:rsid w:val="497977AA"/>
    <w:rsid w:val="4B3934BB"/>
    <w:rsid w:val="4BDBD1D5"/>
    <w:rsid w:val="4CF11927"/>
    <w:rsid w:val="4EE112EA"/>
    <w:rsid w:val="4FFEC09A"/>
    <w:rsid w:val="503B36BB"/>
    <w:rsid w:val="56ED900E"/>
    <w:rsid w:val="58CD70FF"/>
    <w:rsid w:val="5B1F5819"/>
    <w:rsid w:val="5BAF0DB5"/>
    <w:rsid w:val="5F6D8858"/>
    <w:rsid w:val="5FF7B2F7"/>
    <w:rsid w:val="6677779F"/>
    <w:rsid w:val="66BDA75C"/>
    <w:rsid w:val="69AEA95D"/>
    <w:rsid w:val="6DBF36B3"/>
    <w:rsid w:val="6EA168B2"/>
    <w:rsid w:val="73EAB070"/>
    <w:rsid w:val="73FFB638"/>
    <w:rsid w:val="74561EEC"/>
    <w:rsid w:val="76EA3433"/>
    <w:rsid w:val="779F147F"/>
    <w:rsid w:val="77FF5E15"/>
    <w:rsid w:val="7BFF0EEE"/>
    <w:rsid w:val="7EF54AA2"/>
    <w:rsid w:val="7F9FE6D2"/>
    <w:rsid w:val="7FD40F13"/>
    <w:rsid w:val="7FFC5052"/>
    <w:rsid w:val="7FFF904C"/>
    <w:rsid w:val="B77E3DDD"/>
    <w:rsid w:val="B8D76DF5"/>
    <w:rsid w:val="CD7DDF3E"/>
    <w:rsid w:val="CEF511F9"/>
    <w:rsid w:val="D97D34BA"/>
    <w:rsid w:val="E1FE9745"/>
    <w:rsid w:val="E747213F"/>
    <w:rsid w:val="ECFD4D2F"/>
    <w:rsid w:val="ED7FF36E"/>
    <w:rsid w:val="EFA76C5C"/>
    <w:rsid w:val="EFB9F648"/>
    <w:rsid w:val="F378E8AC"/>
    <w:rsid w:val="F73C1BD8"/>
    <w:rsid w:val="FACF8D7C"/>
    <w:rsid w:val="FBFC5D6B"/>
    <w:rsid w:val="FD7F0BB0"/>
    <w:rsid w:val="FE6746F1"/>
    <w:rsid w:val="FFDA281B"/>
    <w:rsid w:val="FFEB24E0"/>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adjustRightInd/>
      <w:snapToGrid w:val="0"/>
      <w:jc w:val="center"/>
    </w:pPr>
    <w:rPr>
      <w:sz w:val="18"/>
      <w:szCs w:val="18"/>
    </w:rPr>
  </w:style>
  <w:style w:type="paragraph" w:styleId="4">
    <w:name w:val="toc 1"/>
    <w:basedOn w:val="1"/>
    <w:next w:val="1"/>
    <w:unhideWhenUsed/>
    <w:qFormat/>
    <w:uiPriority w:val="39"/>
    <w:rPr>
      <w:rFonts w:ascii="宋体"/>
    </w:rPr>
  </w:style>
  <w:style w:type="table" w:styleId="6">
    <w:name w:val="Table Grid"/>
    <w:basedOn w:val="5"/>
    <w:unhideWhenUsed/>
    <w:qFormat/>
    <w:uiPriority w:val="99"/>
    <w:rPr>
      <w:rFonts w:ascii="宋体" w:hAnsi="Calibri" w:cs="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
    <w:name w:val="封面标准英文名称"/>
    <w:basedOn w:val="10"/>
    <w:qFormat/>
    <w:uiPriority w:val="0"/>
    <w:pPr>
      <w:spacing w:before="370" w:line="400" w:lineRule="exact"/>
    </w:pPr>
    <w:rPr>
      <w:rFonts w:ascii="Times New Roman"/>
      <w:sz w:val="28"/>
      <w:szCs w:val="28"/>
    </w:rPr>
  </w:style>
  <w:style w:type="paragraph" w:customStyle="1" w:styleId="12">
    <w:name w:val="封面标准文稿类别"/>
    <w:basedOn w:val="13"/>
    <w:qFormat/>
    <w:uiPriority w:val="0"/>
    <w:pPr>
      <w:spacing w:after="160" w:line="240" w:lineRule="auto"/>
    </w:pPr>
    <w:rPr>
      <w:sz w:val="24"/>
    </w:rPr>
  </w:style>
  <w:style w:type="paragraph" w:customStyle="1" w:styleId="13">
    <w:name w:val="封面一致性程度标识"/>
    <w:basedOn w:val="11"/>
    <w:qFormat/>
    <w:uiPriority w:val="0"/>
    <w:pPr>
      <w:spacing w:before="440"/>
    </w:pPr>
    <w:rPr>
      <w:rFonts w:ascii="宋体" w:eastAsia="宋体"/>
    </w:rPr>
  </w:style>
  <w:style w:type="paragraph" w:customStyle="1" w:styleId="14">
    <w:name w:val="封面标准文稿编辑信息"/>
    <w:basedOn w:val="12"/>
    <w:qFormat/>
    <w:uiPriority w:val="0"/>
    <w:pPr>
      <w:spacing w:before="180" w:line="180" w:lineRule="exact"/>
    </w:pPr>
    <w:rPr>
      <w:sz w:val="21"/>
    </w:rPr>
  </w:style>
  <w:style w:type="paragraph" w:customStyle="1" w:styleId="15">
    <w:name w:val="其他发布日期"/>
    <w:basedOn w:val="16"/>
    <w:qFormat/>
    <w:uiPriority w:val="0"/>
    <w:pPr>
      <w:framePr w:vAnchor="page" w:hAnchor="page" w:x="1419"/>
    </w:pPr>
  </w:style>
  <w:style w:type="paragraph" w:customStyle="1" w:styleId="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7">
    <w:name w:val="其他实施日期"/>
    <w:basedOn w:val="18"/>
    <w:qFormat/>
    <w:uiPriority w:val="0"/>
  </w:style>
  <w:style w:type="paragraph" w:customStyle="1" w:styleId="18">
    <w:name w:val="实施日期"/>
    <w:basedOn w:val="16"/>
    <w:qFormat/>
    <w:uiPriority w:val="0"/>
    <w:pPr>
      <w:framePr w:vAnchor="page" w:hAnchor="page"/>
      <w:jc w:val="right"/>
    </w:pPr>
  </w:style>
  <w:style w:type="paragraph" w:customStyle="1" w:styleId="19">
    <w:name w:val="其他发布部门"/>
    <w:basedOn w:val="20"/>
    <w:qFormat/>
    <w:uiPriority w:val="0"/>
    <w:pPr>
      <w:framePr w:y="15310"/>
      <w:spacing w:line="0" w:lineRule="atLeast"/>
    </w:pPr>
    <w:rPr>
      <w:rFonts w:ascii="黑体" w:eastAsia="黑体"/>
      <w:b w:val="0"/>
    </w:rPr>
  </w:style>
  <w:style w:type="paragraph" w:customStyle="1" w:styleId="2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发布"/>
    <w:basedOn w:val="7"/>
    <w:qFormat/>
    <w:uiPriority w:val="0"/>
    <w:rPr>
      <w:rFonts w:ascii="黑体" w:eastAsia="黑体"/>
      <w:spacing w:val="85"/>
      <w:w w:val="100"/>
      <w:position w:val="3"/>
      <w:sz w:val="28"/>
      <w:szCs w:val="28"/>
    </w:r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章标题"/>
    <w:next w:val="2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
    <w:name w:val="一级条标题"/>
    <w:next w:val="2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二级条标题"/>
    <w:basedOn w:val="26"/>
    <w:next w:val="22"/>
    <w:qFormat/>
    <w:uiPriority w:val="0"/>
    <w:pPr>
      <w:numPr>
        <w:ilvl w:val="2"/>
        <w:numId w:val="1"/>
      </w:numPr>
      <w:spacing w:before="50" w:after="50"/>
      <w:outlineLvl w:val="3"/>
    </w:pPr>
  </w:style>
  <w:style w:type="paragraph" w:customStyle="1" w:styleId="28">
    <w:name w:val="终结线"/>
    <w:basedOn w:val="1"/>
    <w:qFormat/>
    <w:uiPriority w:val="0"/>
    <w:pPr>
      <w:framePr w:hSpace="181" w:vSpace="181" w:wrap="around" w:vAnchor="text" w:hAnchor="margin" w:xAlign="center" w:y="285"/>
    </w:pPr>
  </w:style>
  <w:style w:type="paragraph" w:customStyle="1" w:styleId="29">
    <w:name w:val="标准书眉_偶数页"/>
    <w:basedOn w:val="30"/>
    <w:next w:val="1"/>
    <w:qFormat/>
    <w:uiPriority w:val="0"/>
    <w:pPr>
      <w:tabs>
        <w:tab w:val="center" w:pos="4154"/>
        <w:tab w:val="right" w:pos="8306"/>
      </w:tabs>
      <w:jc w:val="left"/>
    </w:pPr>
    <w:rPr>
      <w:rFonts w:ascii="黑体" w:eastAsia="黑体"/>
    </w:r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一级无"/>
    <w:basedOn w:val="26"/>
    <w:qFormat/>
    <w:uiPriority w:val="0"/>
    <w:pPr>
      <w:spacing w:beforeLines="0" w:afterLines="0"/>
    </w:pPr>
    <w:rPr>
      <w:rFonts w:ascii="宋体" w:hAnsi="宋体" w:eastAsia="宋体"/>
    </w:rPr>
  </w:style>
  <w:style w:type="paragraph" w:customStyle="1" w:styleId="34">
    <w:name w:val="正文表标题"/>
    <w:basedOn w:val="1"/>
    <w:next w:val="22"/>
    <w:qFormat/>
    <w:uiPriority w:val="0"/>
    <w:pPr>
      <w:widowControl/>
      <w:spacing w:beforeLines="50" w:afterLines="50"/>
      <w:jc w:val="center"/>
    </w:pPr>
    <w:rPr>
      <w:rFonts w:ascii="黑体" w:hAnsi="黑体" w:eastAsia="黑体" w:cs="宋体"/>
      <w:kern w:val="0"/>
    </w:rPr>
  </w:style>
  <w:style w:type="paragraph" w:customStyle="1" w:styleId="35">
    <w:name w:val="三级条标题"/>
    <w:basedOn w:val="27"/>
    <w:next w:val="22"/>
    <w:qFormat/>
    <w:uiPriority w:val="0"/>
    <w:pPr>
      <w:outlineLvl w:val="4"/>
    </w:pPr>
  </w:style>
  <w:style w:type="paragraph" w:customStyle="1" w:styleId="36">
    <w:name w:val="四级条标题"/>
    <w:basedOn w:val="35"/>
    <w:next w:val="22"/>
    <w:qFormat/>
    <w:uiPriority w:val="0"/>
    <w:pPr>
      <w:outlineLvl w:val="5"/>
    </w:pPr>
  </w:style>
  <w:style w:type="paragraph" w:customStyle="1" w:styleId="37">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9">
    <w:name w:val="标准文件_前言、引言标题"/>
    <w:next w:val="1"/>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4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标准文件_目录标题"/>
    <w:basedOn w:val="1"/>
    <w:qFormat/>
    <w:uiPriority w:val="0"/>
    <w:pPr>
      <w:spacing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3120</Words>
  <Characters>3792</Characters>
  <Lines>0</Lines>
  <Paragraphs>0</Paragraphs>
  <TotalTime>3</TotalTime>
  <ScaleCrop>false</ScaleCrop>
  <LinksUpToDate>false</LinksUpToDate>
  <CharactersWithSpaces>4071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2022-11-06T18:31:00Z</dcterms:created>
  <dc:creator>user</dc:creator>
  <cp:lastModifiedBy>user</cp:lastModifiedBy>
  <cp:lastPrinted>2022-11-09T05:11:00Z</cp:lastPrinted>
  <dcterms:modified xsi:type="dcterms:W3CDTF">2022-11-10T09:02:46Z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297E0042983B4B1BA8F745DBBB0A2703</vt:lpwstr>
  </property>
</Properties>
</file>