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</w:rPr>
        <w:t xml:space="preserve">7.160.20                              </w:t>
      </w:r>
    </w:p>
    <w:p>
      <w:pPr>
        <w:widowControl/>
        <w:jc w:val="left"/>
        <w:rPr>
          <w:rFonts w:hint="eastAsia" w:ascii="黑体" w:hAnsi="宋体" w:eastAsia="黑体" w:cs="宋体"/>
          <w:color w:val="000000"/>
          <w:kern w:val="0"/>
        </w:rPr>
      </w:pPr>
      <w:r>
        <w:rPr>
          <w:rFonts w:hint="eastAsia" w:ascii="黑体" w:hAnsi="黑体" w:eastAsia="黑体" w:cs="宋体"/>
          <w:color w:val="000000"/>
          <w:kern w:val="0"/>
        </w:rPr>
        <w:t xml:space="preserve">X 51 </w:t>
      </w:r>
    </w:p>
    <w:p>
      <w:pPr>
        <w:widowControl/>
        <w:jc w:val="left"/>
        <w:rPr>
          <w:rFonts w:hint="eastAsia" w:ascii="黑体" w:hAnsi="宋体" w:eastAsia="黑体" w:cs="宋体"/>
          <w:color w:val="000000"/>
          <w:kern w:val="0"/>
        </w:rPr>
      </w:pPr>
      <w:r>
        <w:rPr>
          <w:rFonts w:hint="eastAsia" w:ascii="黑体" w:hAnsi="宋体" w:eastAsia="黑体" w:cs="宋体"/>
          <w:color w:val="000000"/>
          <w:kern w:val="0"/>
        </w:rPr>
        <w:t xml:space="preserve">                                                 </w:t>
      </w:r>
      <w:r>
        <w:rPr>
          <w:rFonts w:ascii="Bold" w:hAnsi="Bold" w:cs="宋体"/>
          <w:b/>
          <w:bCs/>
          <w:color w:val="000000"/>
          <w:kern w:val="0"/>
          <w:sz w:val="110"/>
          <w:szCs w:val="110"/>
        </w:rPr>
        <w:t>DB2105</w:t>
      </w:r>
      <w:r>
        <w:rPr>
          <w:rFonts w:hint="eastAsia" w:ascii="黑体" w:hAnsi="宋体" w:eastAsia="黑体" w:cs="宋体"/>
          <w:color w:val="000000"/>
          <w:kern w:val="0"/>
        </w:rPr>
        <w:t xml:space="preserve">        </w:t>
      </w:r>
    </w:p>
    <w:p>
      <w:pPr>
        <w:widowControl/>
        <w:jc w:val="left"/>
        <w:rPr>
          <w:rFonts w:hint="eastAsia" w:ascii="黑体" w:hAnsi="宋体" w:eastAsia="黑体" w:cs="宋体"/>
          <w:color w:val="000000"/>
          <w:kern w:val="0"/>
        </w:rPr>
      </w:pPr>
      <w:r>
        <w:rPr>
          <w:rFonts w:hint="eastAsia" w:ascii="黑体" w:hAnsi="宋体" w:eastAsia="黑体" w:cs="宋体"/>
          <w:color w:val="000000"/>
          <w:kern w:val="0"/>
        </w:rPr>
        <w:t xml:space="preserve"> 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48"/>
          <w:szCs w:val="48"/>
        </w:rPr>
        <w:t>本</w:t>
      </w:r>
      <w:r>
        <w:rPr>
          <w:rFonts w:hint="eastAsia" w:ascii="黑体" w:hAnsi="宋体" w:eastAsia="黑体" w:cs="宋体"/>
          <w:color w:val="000000"/>
          <w:kern w:val="0"/>
          <w:sz w:val="48"/>
          <w:szCs w:val="48"/>
        </w:rPr>
        <w:t xml:space="preserve">   溪   市</w:t>
      </w:r>
      <w:r>
        <w:rPr>
          <w:rFonts w:hint="eastAsia" w:ascii="宋体" w:hAnsi="宋体"/>
          <w:kern w:val="0"/>
          <w:sz w:val="24"/>
          <w:szCs w:val="24"/>
        </w:rPr>
        <w:t xml:space="preserve">      </w:t>
      </w:r>
      <w:r>
        <w:rPr>
          <w:rFonts w:hint="eastAsia" w:ascii="黑体" w:hAnsi="黑体" w:eastAsia="黑体" w:cs="宋体"/>
          <w:color w:val="000000"/>
          <w:kern w:val="0"/>
          <w:sz w:val="48"/>
          <w:szCs w:val="48"/>
        </w:rPr>
        <w:t>地</w:t>
      </w:r>
      <w:r>
        <w:rPr>
          <w:rFonts w:hint="eastAsia" w:ascii="黑体" w:hAnsi="宋体" w:eastAsia="黑体" w:cs="宋体"/>
          <w:color w:val="000000"/>
          <w:kern w:val="0"/>
          <w:sz w:val="48"/>
          <w:szCs w:val="48"/>
        </w:rPr>
        <w:t xml:space="preserve">   方   标   准 </w:t>
      </w:r>
    </w:p>
    <w:p>
      <w:pPr>
        <w:widowControl/>
        <w:ind w:firstLine="6020" w:firstLineChars="2150"/>
        <w:jc w:val="left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DB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 xml:space="preserve">2105/T 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—</w:t>
      </w:r>
    </w:p>
    <w:p>
      <w:pPr>
        <w:widowControl/>
        <w:pBdr>
          <w:bottom w:val="single" w:color="auto" w:sz="4" w:space="1"/>
        </w:pBdr>
        <w:jc w:val="left"/>
        <w:rPr>
          <w:rFonts w:hint="eastAsia" w:ascii="宋体" w:hAnsi="宋体"/>
          <w:kern w:val="0"/>
          <w:sz w:val="10"/>
          <w:szCs w:val="10"/>
        </w:rPr>
      </w:pPr>
      <w:r>
        <w:rPr>
          <w:rFonts w:hint="eastAsia" w:ascii="宋体" w:hAnsi="宋体"/>
          <w:kern w:val="0"/>
          <w:sz w:val="10"/>
          <w:szCs w:val="10"/>
        </w:rPr>
        <w:t xml:space="preserve"> </w:t>
      </w:r>
    </w:p>
    <w:p>
      <w:pPr>
        <w:widowControl/>
        <w:jc w:val="left"/>
        <w:rPr>
          <w:rFonts w:hint="eastAsia" w:ascii="黑体" w:hAnsi="宋体" w:eastAsia="黑体" w:cs="宋体"/>
          <w:color w:val="000000"/>
          <w:kern w:val="0"/>
          <w:sz w:val="52"/>
          <w:szCs w:val="52"/>
        </w:rPr>
      </w:pPr>
      <w:r>
        <w:rPr>
          <w:rFonts w:hint="eastAsia" w:ascii="黑体" w:hAnsi="宋体" w:eastAsia="黑体" w:cs="宋体"/>
          <w:color w:val="000000"/>
          <w:kern w:val="0"/>
          <w:sz w:val="52"/>
          <w:szCs w:val="52"/>
        </w:rPr>
        <w:t xml:space="preserve"> </w:t>
      </w:r>
    </w:p>
    <w:p>
      <w:pPr>
        <w:widowControl/>
        <w:jc w:val="left"/>
        <w:rPr>
          <w:rFonts w:hint="eastAsia" w:ascii="黑体" w:hAnsi="宋体" w:eastAsia="黑体" w:cs="宋体"/>
          <w:color w:val="000000"/>
          <w:kern w:val="0"/>
          <w:sz w:val="52"/>
          <w:szCs w:val="52"/>
        </w:rPr>
      </w:pPr>
      <w:r>
        <w:rPr>
          <w:rFonts w:hint="eastAsia" w:ascii="黑体" w:hAnsi="宋体" w:eastAsia="黑体" w:cs="宋体"/>
          <w:color w:val="000000"/>
          <w:kern w:val="0"/>
          <w:sz w:val="52"/>
          <w:szCs w:val="52"/>
        </w:rPr>
        <w:t xml:space="preserve"> </w:t>
      </w:r>
    </w:p>
    <w:p>
      <w:pPr>
        <w:widowControl/>
        <w:jc w:val="left"/>
        <w:rPr>
          <w:rFonts w:hint="eastAsia" w:ascii="黑体" w:hAnsi="宋体" w:eastAsia="黑体" w:cs="宋体"/>
          <w:color w:val="000000"/>
          <w:kern w:val="0"/>
          <w:sz w:val="52"/>
          <w:szCs w:val="52"/>
        </w:rPr>
      </w:pPr>
      <w:r>
        <w:rPr>
          <w:rFonts w:hint="eastAsia" w:ascii="黑体" w:hAnsi="宋体" w:eastAsia="黑体" w:cs="宋体"/>
          <w:color w:val="000000"/>
          <w:kern w:val="0"/>
          <w:sz w:val="52"/>
          <w:szCs w:val="52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color w:val="000000"/>
          <w:kern w:val="0"/>
          <w:sz w:val="52"/>
          <w:szCs w:val="52"/>
        </w:rPr>
      </w:pPr>
      <w:r>
        <w:rPr>
          <w:rFonts w:hint="eastAsia" w:ascii="黑体" w:hAnsi="黑体" w:eastAsia="黑体" w:cs="宋体"/>
          <w:color w:val="000000"/>
          <w:kern w:val="0"/>
          <w:sz w:val="52"/>
          <w:szCs w:val="52"/>
        </w:rPr>
        <w:t>地理标志产品</w:t>
      </w:r>
      <w:r>
        <w:rPr>
          <w:rFonts w:hint="eastAsia" w:ascii="黑体" w:hAnsi="宋体" w:eastAsia="黑体" w:cs="宋体"/>
          <w:color w:val="000000"/>
          <w:kern w:val="0"/>
          <w:sz w:val="52"/>
          <w:szCs w:val="52"/>
        </w:rPr>
        <w:t xml:space="preserve"> 桓仁大榛子</w:t>
      </w:r>
    </w:p>
    <w:p>
      <w:pPr>
        <w:widowControl/>
        <w:jc w:val="left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jc w:val="left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jc w:val="left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jc w:val="left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jc w:val="left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jc w:val="left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jc w:val="left"/>
        <w:rPr>
          <w:rFonts w:hint="eastAsia" w:ascii="宋体" w:hAnsi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202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 xml:space="preserve"> - ** - ** 发布 </w:t>
      </w:r>
      <w:r>
        <w:rPr>
          <w:rFonts w:hint="eastAsia" w:ascii="宋体" w:hAnsi="宋体"/>
          <w:kern w:val="0"/>
          <w:sz w:val="24"/>
          <w:szCs w:val="24"/>
        </w:rPr>
        <w:t xml:space="preserve">                       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202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 xml:space="preserve">2 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 xml:space="preserve">- **- ** 实施 </w:t>
      </w:r>
    </w:p>
    <w:p>
      <w:pPr>
        <w:widowControl/>
        <w:pBdr>
          <w:bottom w:val="single" w:color="auto" w:sz="4" w:space="1"/>
        </w:pBdr>
        <w:jc w:val="left"/>
        <w:rPr>
          <w:rFonts w:hint="eastAsia" w:ascii="宋体" w:hAnsi="宋体"/>
          <w:kern w:val="0"/>
          <w:sz w:val="10"/>
          <w:szCs w:val="10"/>
        </w:rPr>
      </w:pPr>
      <w:r>
        <w:rPr>
          <w:rFonts w:hint="eastAsia" w:ascii="黑体" w:hAnsi="宋体" w:eastAsia="黑体" w:cs="宋体"/>
          <w:color w:val="000000"/>
          <w:kern w:val="0"/>
          <w:sz w:val="33"/>
          <w:szCs w:val="33"/>
        </w:rPr>
        <w:t xml:space="preserve">      </w:t>
      </w:r>
    </w:p>
    <w:p>
      <w:pPr>
        <w:jc w:val="center"/>
        <w:rPr>
          <w:rFonts w:hint="eastAsia"/>
        </w:rPr>
      </w:pPr>
      <w:r>
        <w:rPr>
          <w:rFonts w:hint="eastAsia" w:ascii="黑体" w:hAnsi="黑体" w:eastAsia="黑体" w:cs="宋体"/>
          <w:color w:val="000000"/>
          <w:kern w:val="0"/>
          <w:sz w:val="33"/>
          <w:szCs w:val="33"/>
        </w:rPr>
        <w:t>本溪市市场监督管理局</w:t>
      </w:r>
      <w:r>
        <w:rPr>
          <w:rFonts w:hint="eastAsia" w:ascii="黑体" w:hAnsi="宋体" w:eastAsia="黑体" w:cs="宋体"/>
          <w:color w:val="000000"/>
          <w:kern w:val="0"/>
          <w:sz w:val="33"/>
          <w:szCs w:val="33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发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 xml:space="preserve"> 布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8"/>
        <w:outlineLvl w:val="9"/>
        <w:rPr>
          <w:rFonts w:hint="eastAsia"/>
        </w:rPr>
        <w:sectPr>
          <w:pgSz w:w="11906" w:h="16838"/>
          <w:pgMar w:top="567" w:right="1134" w:bottom="1134" w:left="1417" w:header="1418" w:footer="1134" w:gutter="0"/>
          <w:cols w:space="720" w:num="1"/>
          <w:docGrid w:type="lines" w:linePitch="312" w:charSpace="0"/>
        </w:sectPr>
      </w:pPr>
    </w:p>
    <w:p>
      <w:pPr>
        <w:pStyle w:val="8"/>
      </w:pPr>
      <w:bookmarkStart w:id="0" w:name="_Toc14669"/>
      <w:r>
        <w:rPr>
          <w:rFonts w:hint="eastAsia"/>
        </w:rPr>
        <w:t>前  言</w:t>
      </w:r>
      <w:bookmarkEnd w:id="0"/>
    </w:p>
    <w:p>
      <w:pPr>
        <w:pStyle w:val="7"/>
        <w:ind w:firstLine="409" w:firstLineChars="195"/>
        <w:rPr>
          <w:rFonts w:hint="eastAsia"/>
        </w:rPr>
      </w:pPr>
      <w:r>
        <w:rPr>
          <w:rFonts w:hint="eastAsia"/>
        </w:rPr>
        <w:t>本</w:t>
      </w:r>
      <w:r>
        <w:rPr>
          <w:rFonts w:hint="eastAsia"/>
          <w:lang w:eastAsia="zh-CN"/>
        </w:rPr>
        <w:t>文件</w:t>
      </w:r>
      <w:r>
        <w:rPr>
          <w:rFonts w:hint="eastAsia"/>
        </w:rPr>
        <w:t>根据国家质量监督</w:t>
      </w:r>
      <w:r>
        <w:rPr>
          <w:rFonts w:hint="eastAsia"/>
          <w:lang w:eastAsia="zh-CN"/>
        </w:rPr>
        <w:t>检验</w:t>
      </w:r>
      <w:r>
        <w:rPr>
          <w:rFonts w:hint="eastAsia"/>
        </w:rPr>
        <w:t>检疫总局颁布的《地理标志产品保护规定》及GB</w:t>
      </w:r>
      <w:r>
        <w:rPr>
          <w:rFonts w:hint="eastAsia"/>
          <w:lang w:val="en-US" w:eastAsia="zh-CN"/>
        </w:rPr>
        <w:t xml:space="preserve">/T </w:t>
      </w:r>
      <w:r>
        <w:rPr>
          <w:rFonts w:hint="eastAsia"/>
        </w:rPr>
        <w:t>17924-</w:t>
      </w:r>
      <w:r>
        <w:rPr>
          <w:rFonts w:hint="eastAsia"/>
          <w:lang w:val="en-US" w:eastAsia="zh-CN"/>
        </w:rPr>
        <w:t>2008</w:t>
      </w:r>
      <w:r>
        <w:rPr>
          <w:rFonts w:hint="eastAsia"/>
        </w:rPr>
        <w:t>《</w:t>
      </w:r>
      <w:r>
        <w:rPr>
          <w:rFonts w:ascii="Verdana" w:hAnsi="Verdana" w:eastAsia="宋体" w:cs="Verdana"/>
          <w:i w:val="0"/>
          <w:iCs w:val="0"/>
          <w:caps w:val="0"/>
          <w:color w:val="333333"/>
          <w:spacing w:val="0"/>
          <w:sz w:val="20"/>
          <w:szCs w:val="20"/>
          <w:shd w:val="clear" w:color="auto" w:fill="FFFFFF"/>
        </w:rPr>
        <w:t>地理标志产品 标准通用要求</w:t>
      </w:r>
      <w:r>
        <w:rPr>
          <w:rFonts w:hint="eastAsia"/>
        </w:rPr>
        <w:t>》制定；</w:t>
      </w:r>
    </w:p>
    <w:p>
      <w:pPr>
        <w:pStyle w:val="21"/>
        <w:ind w:firstLine="420"/>
        <w:rPr>
          <w:rFonts w:hint="eastAsia"/>
        </w:rPr>
      </w:pPr>
      <w:r>
        <w:rPr>
          <w:rFonts w:hint="eastAsia"/>
        </w:rPr>
        <w:t>本文件按照GB/T 1.1—2020《标准化工作导则  第1部分：标准化文件的结构和起草规则》的规定起草。</w:t>
      </w:r>
    </w:p>
    <w:p>
      <w:pPr>
        <w:pStyle w:val="7"/>
        <w:ind w:firstLine="409" w:firstLineChars="195"/>
        <w:rPr>
          <w:rFonts w:hint="eastAsia"/>
        </w:rPr>
      </w:pPr>
      <w:r>
        <w:rPr>
          <w:rFonts w:hint="eastAsia"/>
        </w:rPr>
        <w:t>本</w:t>
      </w:r>
      <w:r>
        <w:rPr>
          <w:rFonts w:hint="eastAsia"/>
          <w:lang w:eastAsia="zh-CN"/>
        </w:rPr>
        <w:t>文件</w:t>
      </w:r>
      <w:r>
        <w:rPr>
          <w:rFonts w:hint="eastAsia"/>
        </w:rPr>
        <w:t>的附录A为规范性附录；</w:t>
      </w:r>
    </w:p>
    <w:p>
      <w:pPr>
        <w:pStyle w:val="21"/>
        <w:ind w:firstLine="420"/>
      </w:pPr>
      <w:r>
        <w:rPr>
          <w:rFonts w:hint="eastAsia"/>
        </w:rPr>
        <w:t>请注意本文件的某些内容可能涉及专利。本文件的发布机构不承担识别专利的责任。</w:t>
      </w:r>
    </w:p>
    <w:p>
      <w:pPr>
        <w:pStyle w:val="7"/>
        <w:ind w:firstLine="409" w:firstLineChars="195"/>
        <w:rPr>
          <w:rFonts w:hint="eastAsia"/>
          <w:highlight w:val="none"/>
        </w:rPr>
      </w:pPr>
      <w:r>
        <w:rPr>
          <w:rFonts w:hint="eastAsia"/>
          <w:highlight w:val="none"/>
        </w:rPr>
        <w:t>本</w:t>
      </w:r>
      <w:r>
        <w:rPr>
          <w:rFonts w:hint="eastAsia"/>
          <w:highlight w:val="none"/>
          <w:lang w:eastAsia="zh-CN"/>
        </w:rPr>
        <w:t>文件</w:t>
      </w:r>
      <w:r>
        <w:rPr>
          <w:rFonts w:hint="eastAsia"/>
          <w:highlight w:val="none"/>
        </w:rPr>
        <w:t>由本溪市</w:t>
      </w:r>
      <w:r>
        <w:rPr>
          <w:rFonts w:hint="eastAsia"/>
          <w:highlight w:val="none"/>
          <w:lang w:eastAsia="zh-CN"/>
        </w:rPr>
        <w:t>市场监督管理局</w:t>
      </w:r>
      <w:r>
        <w:rPr>
          <w:rFonts w:hint="eastAsia"/>
          <w:highlight w:val="none"/>
        </w:rPr>
        <w:t>提出并归口；</w:t>
      </w:r>
    </w:p>
    <w:p>
      <w:pPr>
        <w:pStyle w:val="7"/>
        <w:ind w:firstLine="420"/>
        <w:rPr>
          <w:rFonts w:hint="eastAsia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本</w:t>
      </w:r>
      <w:r>
        <w:rPr>
          <w:rFonts w:hint="eastAsia"/>
        </w:rPr>
        <w:t>文件</w:t>
      </w:r>
      <w:r>
        <w:rPr>
          <w:rFonts w:hint="eastAsia"/>
          <w:color w:val="000000" w:themeColor="text1"/>
          <w:sz w:val="21"/>
          <w:szCs w:val="21"/>
        </w:rPr>
        <w:t>负责起草单位：</w:t>
      </w:r>
      <w:r>
        <w:rPr>
          <w:rFonts w:hint="eastAsia"/>
          <w:color w:val="000000" w:themeColor="text1"/>
          <w:sz w:val="21"/>
          <w:szCs w:val="21"/>
          <w:lang w:eastAsia="zh-CN"/>
        </w:rPr>
        <w:t>桓仁满族自治县检验检测服务中心、桓仁满族自治县重点产业发展服务中心、</w:t>
      </w:r>
      <w:r>
        <w:rPr>
          <w:rFonts w:hint="eastAsia" w:hAnsi="宋体"/>
          <w:lang w:eastAsia="zh-CN"/>
        </w:rPr>
        <w:t>辽宁晟宇检验检测有限公司（辽宁省冰葡萄酒、参茸产品质量检验中心）</w:t>
      </w:r>
      <w:r>
        <w:rPr>
          <w:rFonts w:hint="eastAsia"/>
          <w:color w:val="000000" w:themeColor="text1"/>
          <w:sz w:val="21"/>
          <w:szCs w:val="21"/>
        </w:rPr>
        <w:t>、桓仁富民果业专业合作社、桓仁众诚生态农业有限公司。</w:t>
      </w:r>
    </w:p>
    <w:p>
      <w:pPr>
        <w:pStyle w:val="7"/>
        <w:rPr>
          <w:rFonts w:hint="eastAsia"/>
          <w:color w:val="000000" w:themeColor="text1"/>
          <w:sz w:val="21"/>
          <w:szCs w:val="21"/>
          <w:lang w:eastAsia="zh-CN"/>
        </w:rPr>
      </w:pPr>
      <w:r>
        <w:rPr>
          <w:rFonts w:hint="eastAsia"/>
          <w:color w:val="000000" w:themeColor="text1"/>
          <w:sz w:val="21"/>
          <w:szCs w:val="21"/>
        </w:rPr>
        <w:t>本</w:t>
      </w:r>
      <w:r>
        <w:rPr>
          <w:rFonts w:hint="eastAsia"/>
        </w:rPr>
        <w:t>文件</w:t>
      </w:r>
      <w:r>
        <w:rPr>
          <w:rFonts w:hint="eastAsia"/>
          <w:color w:val="000000" w:themeColor="text1"/>
          <w:sz w:val="21"/>
          <w:szCs w:val="21"/>
        </w:rPr>
        <w:t>主要起草人：樊琳琳、</w:t>
      </w:r>
      <w:r>
        <w:rPr>
          <w:rFonts w:hint="eastAsia"/>
          <w:color w:val="000000" w:themeColor="text1"/>
          <w:sz w:val="21"/>
          <w:szCs w:val="21"/>
          <w:lang w:eastAsia="zh-CN"/>
        </w:rPr>
        <w:t>刘畅、</w:t>
      </w:r>
      <w:r>
        <w:rPr>
          <w:rFonts w:hint="eastAsia"/>
          <w:color w:val="000000" w:themeColor="text1"/>
          <w:sz w:val="21"/>
          <w:szCs w:val="21"/>
        </w:rPr>
        <w:t>丁国伟、裴立楠、</w:t>
      </w:r>
      <w:r>
        <w:rPr>
          <w:rFonts w:hint="eastAsia"/>
          <w:color w:val="000000" w:themeColor="text1"/>
          <w:sz w:val="21"/>
          <w:szCs w:val="21"/>
          <w:lang w:eastAsia="zh-CN"/>
        </w:rPr>
        <w:t>李英健、王鑫、</w:t>
      </w:r>
      <w:r>
        <w:rPr>
          <w:rFonts w:hint="eastAsia"/>
          <w:color w:val="000000" w:themeColor="text1"/>
          <w:sz w:val="21"/>
          <w:szCs w:val="21"/>
        </w:rPr>
        <w:t>金洪艳、王冰冰、王彬、</w:t>
      </w:r>
      <w:r>
        <w:rPr>
          <w:rFonts w:hint="eastAsia"/>
          <w:color w:val="000000" w:themeColor="text1"/>
          <w:sz w:val="21"/>
          <w:szCs w:val="21"/>
          <w:lang w:eastAsia="zh-CN"/>
        </w:rPr>
        <w:t>刘艳华、</w:t>
      </w:r>
      <w:r>
        <w:rPr>
          <w:rFonts w:hint="eastAsia"/>
          <w:color w:val="000000" w:themeColor="text1"/>
          <w:sz w:val="21"/>
          <w:szCs w:val="21"/>
        </w:rPr>
        <w:t>杨波、吕威、孙阳、李欣航、杜宜男、</w:t>
      </w:r>
      <w:r>
        <w:rPr>
          <w:rFonts w:hint="eastAsia"/>
          <w:color w:val="000000" w:themeColor="text1"/>
          <w:sz w:val="21"/>
          <w:szCs w:val="21"/>
          <w:lang w:eastAsia="zh-CN"/>
        </w:rPr>
        <w:t>王崴、李昱、原庆贺、</w:t>
      </w:r>
      <w:r>
        <w:rPr>
          <w:rFonts w:hint="eastAsia"/>
          <w:color w:val="000000" w:themeColor="text1"/>
          <w:sz w:val="21"/>
          <w:szCs w:val="21"/>
        </w:rPr>
        <w:t>孙诗涵</w:t>
      </w:r>
      <w:r>
        <w:rPr>
          <w:rFonts w:hint="eastAsia"/>
          <w:color w:val="000000" w:themeColor="text1"/>
          <w:sz w:val="21"/>
          <w:szCs w:val="21"/>
          <w:lang w:eastAsia="zh-CN"/>
        </w:rPr>
        <w:t>、王旭。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ascii="Times New Roman" w:hAnsi="Times New Roman" w:eastAsia="宋体" w:cs="Times New Roman"/>
          <w:sz w:val="21"/>
          <w:szCs w:val="21"/>
        </w:rPr>
      </w:pPr>
      <w:bookmarkStart w:id="1" w:name="_Toc30445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本文件发布实施后，任何单位和个人如有问题和意见建议，均可以通过来电和来函等方式进行反馈，我们将及时答复并认真处理，根据实际情况依法进行评估及复审。联系方式如下：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桓仁满族自治县检验检测服务中心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 xml:space="preserve">桓仁满族自治县五女山路46号 </w:t>
      </w:r>
      <w:r>
        <w:rPr>
          <w:rFonts w:hint="eastAsia" w:ascii="Arial" w:hAnsi="Arial" w:eastAsia="宋体" w:cs="Arial"/>
          <w:i w:val="0"/>
          <w:caps w:val="0"/>
          <w:color w:val="666666"/>
          <w:spacing w:val="0"/>
          <w:kern w:val="0"/>
          <w:sz w:val="19"/>
          <w:szCs w:val="19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024-48823443</w:t>
      </w:r>
    </w:p>
    <w:p>
      <w:pPr>
        <w:pStyle w:val="14"/>
        <w:rPr>
          <w:rFonts w:hint="eastAsia"/>
        </w:rPr>
      </w:pPr>
      <w:r>
        <w:rPr>
          <w:rFonts w:hint="eastAsia"/>
        </w:rPr>
        <w:t>地理标志产品  桓仁大榛子</w:t>
      </w:r>
      <w:bookmarkEnd w:id="1"/>
    </w:p>
    <w:p>
      <w:pPr>
        <w:pStyle w:val="9"/>
        <w:numPr>
          <w:ilvl w:val="0"/>
          <w:numId w:val="1"/>
        </w:numPr>
        <w:spacing w:before="312" w:after="312"/>
        <w:outlineLvl w:val="0"/>
        <w:rPr>
          <w:rFonts w:hint="eastAsia"/>
        </w:rPr>
      </w:pPr>
      <w:bookmarkStart w:id="2" w:name="_Toc7220"/>
      <w:r>
        <w:rPr>
          <w:rFonts w:hint="eastAsia"/>
        </w:rPr>
        <w:t>范围</w:t>
      </w:r>
      <w:bookmarkEnd w:id="2"/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/>
        </w:rPr>
        <w:t>本</w:t>
      </w:r>
      <w:r>
        <w:rPr>
          <w:rFonts w:hint="eastAsia"/>
          <w:lang w:eastAsia="zh-CN"/>
        </w:rPr>
        <w:t>文件</w:t>
      </w:r>
      <w:r>
        <w:rPr>
          <w:rFonts w:hint="eastAsia"/>
        </w:rPr>
        <w:t>规定了地理标志产品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桓仁大榛子的术语和定义、地理标志产品</w:t>
      </w:r>
      <w:r>
        <w:rPr>
          <w:rFonts w:hint="eastAsia"/>
          <w:lang w:eastAsia="zh-CN"/>
        </w:rPr>
        <w:t>保护</w:t>
      </w:r>
      <w:r>
        <w:rPr>
          <w:rFonts w:hint="eastAsia"/>
        </w:rPr>
        <w:t>范围、要求、生产加工过程卫生要求、检验方法、检验规则及标志、包装、运输、贮存。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本</w:t>
      </w:r>
      <w:r>
        <w:rPr>
          <w:rFonts w:hint="eastAsia"/>
          <w:lang w:eastAsia="zh-CN"/>
        </w:rPr>
        <w:t>文件</w:t>
      </w:r>
      <w:r>
        <w:rPr>
          <w:rFonts w:hint="eastAsia" w:ascii="宋体" w:hAnsi="宋体"/>
        </w:rPr>
        <w:t>适用于</w:t>
      </w:r>
      <w:bookmarkStart w:id="11" w:name="_GoBack"/>
      <w:r>
        <w:rPr>
          <w:rFonts w:hint="eastAsia" w:ascii="宋体" w:hAnsi="宋体"/>
        </w:rPr>
        <w:t>国家质量监督检验检疫总局颁布的《地理标志产品保护规定》批准保护的人工栽培的桓仁大榛子</w:t>
      </w:r>
      <w:bookmarkEnd w:id="11"/>
      <w:r>
        <w:rPr>
          <w:rFonts w:hint="eastAsia" w:ascii="宋体" w:hAnsi="宋体"/>
        </w:rPr>
        <w:t xml:space="preserve">。 </w:t>
      </w:r>
    </w:p>
    <w:p>
      <w:pPr>
        <w:pStyle w:val="9"/>
        <w:numPr>
          <w:ilvl w:val="0"/>
          <w:numId w:val="1"/>
        </w:numPr>
        <w:spacing w:before="312" w:after="312"/>
        <w:outlineLvl w:val="0"/>
        <w:rPr>
          <w:rFonts w:hint="eastAsia"/>
        </w:rPr>
      </w:pPr>
      <w:bookmarkStart w:id="3" w:name="_Toc4701"/>
      <w:r>
        <w:rPr>
          <w:rFonts w:hint="eastAsia"/>
        </w:rPr>
        <w:t>规范性引用文件</w:t>
      </w:r>
      <w:bookmarkEnd w:id="3"/>
    </w:p>
    <w:p>
      <w:pPr>
        <w:pStyle w:val="7"/>
        <w:rPr>
          <w:rFonts w:hint="eastAsia" w:ascii="宋体" w:hAnsi="宋体" w:eastAsia="宋体" w:cs="宋体"/>
          <w:b w:val="0"/>
          <w:bCs w:val="0"/>
          <w:color w:val="000000" w:themeColor="text1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</w:rPr>
        <w:t>下列文件对于本文件是应用是必不可少的。凡是注日期的引用文件，仅注日期的版本适用于本文件。凡是不注日期的引用文件，其最新版本（包括所有的修改单）适用于本标准。</w:t>
      </w:r>
    </w:p>
    <w:p>
      <w:pPr>
        <w:pStyle w:val="7"/>
        <w:rPr>
          <w:rFonts w:hint="eastAsia" w:ascii="宋体" w:hAnsi="宋体" w:eastAsia="宋体" w:cs="宋体"/>
          <w:b w:val="0"/>
          <w:bCs w:val="0"/>
          <w:color w:val="000000" w:themeColor="text1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</w:rPr>
        <w:t xml:space="preserve">GB 2760 食品安全国家标准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</w:rPr>
        <w:t>食品添加剂使用标准</w:t>
      </w:r>
    </w:p>
    <w:p>
      <w:pPr>
        <w:pStyle w:val="7"/>
        <w:rPr>
          <w:rFonts w:hint="eastAsia" w:ascii="宋体" w:hAnsi="宋体" w:eastAsia="宋体" w:cs="宋体"/>
          <w:b w:val="0"/>
          <w:bCs w:val="0"/>
          <w:color w:val="000000" w:themeColor="text1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</w:rPr>
        <w:t>GB 2761 食品安全国家标准 食品中真菌毒素限量</w:t>
      </w:r>
    </w:p>
    <w:p>
      <w:pPr>
        <w:pStyle w:val="7"/>
        <w:rPr>
          <w:rFonts w:hint="eastAsia" w:ascii="宋体" w:hAnsi="宋体" w:eastAsia="宋体" w:cs="宋体"/>
          <w:b w:val="0"/>
          <w:bCs w:val="0"/>
          <w:color w:val="000000" w:themeColor="text1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</w:rPr>
        <w:t>GB 2762 食品安全国家标准 食品中污染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</w:rPr>
        <w:t>物限量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</w:rPr>
        <w:t>（含第1号修改单）</w:t>
      </w:r>
    </w:p>
    <w:p>
      <w:pPr>
        <w:pStyle w:val="7"/>
        <w:rPr>
          <w:rFonts w:hint="eastAsia" w:ascii="宋体" w:hAnsi="宋体" w:eastAsia="宋体" w:cs="宋体"/>
          <w:b w:val="0"/>
          <w:bCs w:val="0"/>
          <w:color w:val="000000" w:themeColor="text1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</w:rPr>
        <w:t>GB 2763 食品安全国家标准 食品中农药最大残留限量</w:t>
      </w:r>
    </w:p>
    <w:p>
      <w:pPr>
        <w:pStyle w:val="7"/>
        <w:ind w:left="0" w:leftChars="0"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</w:rPr>
        <w:t>GB 4806.7 食品安全国家标准 食品接触用塑料材料及制品</w:t>
      </w:r>
    </w:p>
    <w:p>
      <w:pPr>
        <w:pStyle w:val="7"/>
        <w:rPr>
          <w:rFonts w:hint="eastAsia" w:ascii="宋体" w:hAnsi="宋体" w:eastAsia="宋体" w:cs="宋体"/>
          <w:b w:val="0"/>
          <w:bCs w:val="0"/>
          <w:color w:val="000000" w:themeColor="text1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</w:rPr>
        <w:t>GB 4789.1 食品安全国家标准 食品微生物学检验 总则</w:t>
      </w:r>
    </w:p>
    <w:p>
      <w:pPr>
        <w:pStyle w:val="7"/>
        <w:rPr>
          <w:rFonts w:hint="eastAsia" w:ascii="宋体" w:hAnsi="宋体" w:eastAsia="宋体" w:cs="宋体"/>
          <w:b w:val="0"/>
          <w:bCs w:val="0"/>
          <w:color w:val="000000" w:themeColor="text1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</w:rPr>
        <w:t>GB 4789.3 食品安全国家标准 食品微生物学检验 大肠菌群计数</w:t>
      </w:r>
    </w:p>
    <w:p>
      <w:pPr>
        <w:pStyle w:val="7"/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</w:rPr>
        <w:t>GB 4789.15 食品安全国家标准 食品微生物学检验 霉菌和酵母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</w:rPr>
        <w:t>计数</w:t>
      </w:r>
    </w:p>
    <w:p>
      <w:pPr>
        <w:pStyle w:val="7"/>
        <w:rPr>
          <w:rFonts w:hint="eastAsia" w:ascii="宋体" w:hAnsi="宋体" w:eastAsia="宋体" w:cs="宋体"/>
          <w:b w:val="0"/>
          <w:bCs w:val="0"/>
          <w:color w:val="000000" w:themeColor="text1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</w:rPr>
        <w:t>GB 5009.3 食品安全国家标准  食品中水分的测定</w:t>
      </w:r>
    </w:p>
    <w:p>
      <w:pPr>
        <w:pStyle w:val="7"/>
        <w:rPr>
          <w:rFonts w:hint="eastAsia" w:ascii="宋体" w:hAnsi="宋体" w:eastAsia="宋体" w:cs="宋体"/>
          <w:b w:val="0"/>
          <w:bCs w:val="0"/>
          <w:color w:val="000000" w:themeColor="text1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</w:rPr>
        <w:t>GB 5009.4 食品安全国家标准  食品中灰分的测定</w:t>
      </w:r>
    </w:p>
    <w:p>
      <w:pPr>
        <w:pStyle w:val="7"/>
        <w:rPr>
          <w:rFonts w:hint="eastAsia" w:ascii="宋体" w:hAnsi="宋体" w:eastAsia="宋体" w:cs="宋体"/>
          <w:b w:val="0"/>
          <w:bCs w:val="0"/>
          <w:color w:val="000000" w:themeColor="text1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</w:rPr>
        <w:t>GB 5009.5 食品安全国家标准  食品中蛋白质的测定</w:t>
      </w:r>
    </w:p>
    <w:p>
      <w:pPr>
        <w:pStyle w:val="7"/>
        <w:rPr>
          <w:rFonts w:hint="eastAsia" w:ascii="宋体" w:hAnsi="宋体" w:eastAsia="宋体" w:cs="宋体"/>
          <w:b w:val="0"/>
          <w:bCs w:val="0"/>
          <w:color w:val="000000" w:themeColor="text1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</w:rPr>
        <w:t>GB 5009.6 食品安全国家标准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</w:rPr>
        <w:t>食品中脂肪的测定</w:t>
      </w:r>
    </w:p>
    <w:p>
      <w:pPr>
        <w:pStyle w:val="7"/>
        <w:rPr>
          <w:rFonts w:hint="eastAsia" w:ascii="宋体" w:hAnsi="宋体" w:eastAsia="宋体" w:cs="宋体"/>
          <w:b w:val="0"/>
          <w:bCs w:val="0"/>
          <w:color w:val="000000" w:themeColor="text1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</w:rPr>
        <w:t>GB 7718 食品安全国家标准  预包装食品标签通则</w:t>
      </w:r>
    </w:p>
    <w:p>
      <w:pPr>
        <w:pStyle w:val="7"/>
        <w:rPr>
          <w:rFonts w:hint="eastAsia" w:ascii="宋体" w:hAnsi="宋体" w:eastAsia="宋体" w:cs="宋体"/>
          <w:b w:val="0"/>
          <w:bCs w:val="0"/>
          <w:color w:val="000000" w:themeColor="text1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</w:rPr>
        <w:t>GB 1488</w:t>
      </w:r>
      <w:r>
        <w:rPr>
          <w:rFonts w:hint="eastAsia" w:cs="宋体"/>
          <w:b w:val="0"/>
          <w:bCs w:val="0"/>
          <w:color w:val="000000" w:themeColor="text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</w:rPr>
        <w:t xml:space="preserve"> 食品安全国家标准 食品生产通用卫生规范</w:t>
      </w:r>
    </w:p>
    <w:p>
      <w:pPr>
        <w:pStyle w:val="7"/>
        <w:rPr>
          <w:rFonts w:hint="eastAsia" w:ascii="宋体" w:hAnsi="宋体" w:eastAsia="宋体" w:cs="宋体"/>
          <w:b w:val="0"/>
          <w:bCs w:val="0"/>
          <w:color w:val="000000" w:themeColor="text1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</w:rPr>
        <w:t>GB 28050 食品安全国家标准  预包装食品营养标签通则</w:t>
      </w:r>
    </w:p>
    <w:p>
      <w:pPr>
        <w:pStyle w:val="7"/>
        <w:rPr>
          <w:rFonts w:hint="eastAsia" w:ascii="宋体" w:hAnsi="宋体" w:eastAsia="宋体" w:cs="宋体"/>
          <w:b w:val="0"/>
          <w:bCs w:val="0"/>
          <w:color w:val="000000" w:themeColor="text1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</w:rPr>
        <w:t xml:space="preserve">GB 29921 食品安全国家标准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lang w:eastAsia="zh-CN"/>
        </w:rPr>
        <w:t>预包装</w:t>
      </w:r>
      <w:r>
        <w:rPr>
          <w:rFonts w:hint="eastAsia" w:ascii="宋体" w:hAnsi="宋体" w:eastAsia="宋体" w:cs="宋体"/>
          <w:b w:val="0"/>
          <w:bCs w:val="0"/>
          <w:color w:val="000000" w:themeColor="text1"/>
        </w:rPr>
        <w:t>食品中致病菌限量</w:t>
      </w:r>
    </w:p>
    <w:p>
      <w:pPr>
        <w:pStyle w:val="7"/>
        <w:rPr>
          <w:rFonts w:hint="eastAsia" w:ascii="宋体" w:hAnsi="宋体" w:eastAsia="宋体" w:cs="宋体"/>
          <w:b w:val="0"/>
          <w:bCs w:val="0"/>
          <w:color w:val="000000" w:themeColor="text1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</w:rPr>
        <w:t>GB/T 191 包装储运图示标志</w:t>
      </w:r>
    </w:p>
    <w:p>
      <w:pPr>
        <w:pStyle w:val="7"/>
        <w:rPr>
          <w:rFonts w:hint="eastAsia" w:ascii="宋体" w:hAnsi="宋体" w:eastAsia="宋体" w:cs="宋体"/>
          <w:b w:val="0"/>
          <w:bCs w:val="0"/>
          <w:color w:val="000000" w:themeColor="text1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</w:rPr>
        <w:t>GB/T 5009.37 食用植物油卫生标准的分析方法</w:t>
      </w:r>
    </w:p>
    <w:p>
      <w:pPr>
        <w:pStyle w:val="7"/>
        <w:rPr>
          <w:rFonts w:hint="eastAsia" w:ascii="宋体" w:hAnsi="宋体" w:eastAsia="宋体" w:cs="宋体"/>
          <w:b w:val="0"/>
          <w:bCs w:val="0"/>
          <w:color w:val="000000" w:themeColor="text1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</w:rPr>
        <w:t>GB/T 6543 运输包装用单瓦楞纸箱和双瓦楞纸箱</w:t>
      </w:r>
    </w:p>
    <w:p>
      <w:pPr>
        <w:pStyle w:val="7"/>
        <w:rPr>
          <w:rFonts w:hint="eastAsia" w:ascii="宋体" w:hAnsi="宋体" w:eastAsia="宋体" w:cs="宋体"/>
          <w:b w:val="0"/>
          <w:bCs w:val="0"/>
          <w:color w:val="000000" w:themeColor="text1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</w:rPr>
        <w:t>JJF 1070  定量包装商品净含量计量检验规则</w:t>
      </w:r>
    </w:p>
    <w:p>
      <w:pPr>
        <w:pStyle w:val="7"/>
        <w:rPr>
          <w:rFonts w:hint="eastAsia" w:ascii="宋体" w:hAnsi="宋体" w:eastAsia="宋体" w:cs="宋体"/>
          <w:b w:val="0"/>
          <w:bCs w:val="0"/>
          <w:color w:val="000000" w:themeColor="text1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</w:rPr>
        <w:t>LY/T 1650 榛子坚果</w:t>
      </w:r>
      <w:r>
        <w:rPr>
          <w:rFonts w:hint="eastAsia" w:cs="宋体"/>
          <w:b w:val="0"/>
          <w:bCs w:val="0"/>
          <w:color w:val="000000" w:themeColor="text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</w:rPr>
        <w:t>平榛、平欧杂种榛</w:t>
      </w:r>
    </w:p>
    <w:p>
      <w:pPr>
        <w:pStyle w:val="7"/>
        <w:rPr>
          <w:rFonts w:hint="default" w:ascii="宋体" w:hAnsi="宋体" w:eastAsia="宋体" w:cs="宋体"/>
          <w:b w:val="0"/>
          <w:bCs w:val="0"/>
          <w:color w:val="000000" w:themeColor="text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</w:rPr>
        <w:t>LY/T</w:t>
      </w:r>
      <w:r>
        <w:rPr>
          <w:rFonts w:hint="eastAsia" w:cs="宋体"/>
          <w:b w:val="0"/>
          <w:bCs w:val="0"/>
          <w:color w:val="000000" w:themeColor="text1"/>
          <w:lang w:val="en-US" w:eastAsia="zh-CN"/>
        </w:rPr>
        <w:t xml:space="preserve"> 3011 榛仁质量等级</w:t>
      </w:r>
    </w:p>
    <w:p>
      <w:pPr>
        <w:pStyle w:val="9"/>
        <w:numPr>
          <w:ilvl w:val="0"/>
          <w:numId w:val="1"/>
        </w:numPr>
        <w:spacing w:before="312" w:after="312"/>
        <w:outlineLvl w:val="0"/>
        <w:rPr>
          <w:rFonts w:hint="eastAsia"/>
        </w:rPr>
      </w:pPr>
      <w:bookmarkStart w:id="4" w:name="_Toc15507"/>
      <w:r>
        <w:rPr>
          <w:rFonts w:hint="eastAsia"/>
        </w:rPr>
        <w:t>术语和定义</w:t>
      </w:r>
      <w:bookmarkEnd w:id="4"/>
    </w:p>
    <w:p>
      <w:pPr>
        <w:pStyle w:val="7"/>
        <w:rPr>
          <w:rFonts w:hint="eastAsia"/>
        </w:rPr>
      </w:pPr>
      <w:r>
        <w:rPr>
          <w:rFonts w:hint="eastAsia"/>
        </w:rPr>
        <w:t>下列术语和定义适用于本标准。</w:t>
      </w:r>
    </w:p>
    <w:p>
      <w:pPr>
        <w:pStyle w:val="10"/>
        <w:numPr>
          <w:ilvl w:val="1"/>
          <w:numId w:val="1"/>
        </w:numPr>
        <w:spacing w:before="156" w:after="156"/>
        <w:ind w:left="0"/>
        <w:rPr>
          <w:rFonts w:hint="eastAsia"/>
        </w:rPr>
      </w:pPr>
      <w:r>
        <w:rPr>
          <w:rFonts w:hint="eastAsia"/>
        </w:rPr>
        <w:t>桓仁大榛子</w:t>
      </w:r>
    </w:p>
    <w:p>
      <w:pPr>
        <w:pStyle w:val="7"/>
        <w:rPr>
          <w:rFonts w:hint="eastAsia"/>
        </w:rPr>
      </w:pPr>
      <w:r>
        <w:rPr>
          <w:rFonts w:hint="eastAsia"/>
        </w:rPr>
        <w:t>在桓仁境内人工栽培的平欧</w:t>
      </w:r>
      <w:r>
        <w:rPr>
          <w:rFonts w:hint="eastAsia"/>
          <w:lang w:eastAsia="zh-CN"/>
        </w:rPr>
        <w:t>杂种</w:t>
      </w:r>
      <w:r>
        <w:rPr>
          <w:rFonts w:hint="eastAsia"/>
        </w:rPr>
        <w:t>榛</w:t>
      </w:r>
      <w:r>
        <w:rPr>
          <w:rFonts w:hint="eastAsia"/>
          <w:lang w:eastAsia="zh-CN"/>
        </w:rPr>
        <w:t>（大果榛子）</w:t>
      </w:r>
      <w:r>
        <w:rPr>
          <w:rFonts w:hint="eastAsia"/>
        </w:rPr>
        <w:t>。品种为薄壳红、达维、金铃、平顶黄、玉坠。</w:t>
      </w:r>
    </w:p>
    <w:p>
      <w:pPr>
        <w:pStyle w:val="10"/>
        <w:numPr>
          <w:ilvl w:val="1"/>
          <w:numId w:val="1"/>
        </w:numPr>
        <w:spacing w:before="156" w:after="156"/>
        <w:ind w:left="0"/>
        <w:rPr>
          <w:rFonts w:hint="eastAsia"/>
        </w:rPr>
      </w:pPr>
      <w:r>
        <w:rPr>
          <w:rFonts w:hint="eastAsia"/>
        </w:rPr>
        <w:t>坚果</w:t>
      </w:r>
    </w:p>
    <w:p>
      <w:pPr>
        <w:pStyle w:val="7"/>
        <w:rPr>
          <w:rFonts w:hint="eastAsia"/>
        </w:rPr>
      </w:pPr>
      <w:r>
        <w:rPr>
          <w:rFonts w:hint="eastAsia"/>
        </w:rPr>
        <w:t>除去</w:t>
      </w:r>
      <w:r>
        <w:rPr>
          <w:rFonts w:hint="eastAsia"/>
          <w:lang w:eastAsia="zh-CN"/>
        </w:rPr>
        <w:t>果</w:t>
      </w:r>
      <w:r>
        <w:rPr>
          <w:rFonts w:hint="eastAsia"/>
        </w:rPr>
        <w:t>苞</w:t>
      </w:r>
      <w:r>
        <w:rPr>
          <w:rFonts w:hint="eastAsia"/>
          <w:lang w:eastAsia="zh-CN"/>
        </w:rPr>
        <w:t>和杂质</w:t>
      </w:r>
      <w:r>
        <w:rPr>
          <w:rFonts w:hint="eastAsia"/>
        </w:rPr>
        <w:t>所得的</w:t>
      </w:r>
      <w:r>
        <w:rPr>
          <w:rFonts w:hint="eastAsia"/>
          <w:lang w:eastAsia="zh-CN"/>
        </w:rPr>
        <w:t>果实部分</w:t>
      </w:r>
      <w:r>
        <w:rPr>
          <w:rFonts w:hint="eastAsia"/>
        </w:rPr>
        <w:t>。</w:t>
      </w:r>
    </w:p>
    <w:p>
      <w:pPr>
        <w:pStyle w:val="10"/>
        <w:numPr>
          <w:ilvl w:val="1"/>
          <w:numId w:val="1"/>
        </w:numPr>
        <w:spacing w:before="156" w:after="156"/>
        <w:ind w:left="0"/>
        <w:rPr>
          <w:rFonts w:hint="eastAsia"/>
        </w:rPr>
      </w:pPr>
      <w:r>
        <w:rPr>
          <w:rFonts w:hint="eastAsia"/>
        </w:rPr>
        <w:t>酸败（俗称出油）</w:t>
      </w:r>
    </w:p>
    <w:p>
      <w:pPr>
        <w:pStyle w:val="7"/>
        <w:rPr>
          <w:rFonts w:hint="eastAsia"/>
        </w:rPr>
      </w:pPr>
      <w:r>
        <w:rPr>
          <w:rFonts w:hint="eastAsia"/>
        </w:rPr>
        <w:t>榛子仁的全部或部分油脂氧化，变为褐色或暗褐色，并产生不良气味。</w:t>
      </w:r>
    </w:p>
    <w:p>
      <w:pPr>
        <w:pStyle w:val="10"/>
        <w:numPr>
          <w:ilvl w:val="1"/>
          <w:numId w:val="1"/>
        </w:numPr>
        <w:spacing w:before="156" w:after="156"/>
        <w:ind w:left="0"/>
        <w:rPr>
          <w:rFonts w:hint="eastAsia"/>
        </w:rPr>
      </w:pPr>
      <w:r>
        <w:rPr>
          <w:rFonts w:hint="eastAsia"/>
        </w:rPr>
        <w:t>空粒</w:t>
      </w:r>
    </w:p>
    <w:p>
      <w:pPr>
        <w:pStyle w:val="7"/>
        <w:rPr>
          <w:rFonts w:hint="eastAsia"/>
        </w:rPr>
      </w:pPr>
      <w:r>
        <w:rPr>
          <w:rFonts w:hint="eastAsia"/>
        </w:rPr>
        <w:t>无仁的榛子。</w:t>
      </w:r>
    </w:p>
    <w:p>
      <w:pPr>
        <w:pStyle w:val="10"/>
        <w:numPr>
          <w:ilvl w:val="1"/>
          <w:numId w:val="1"/>
        </w:numPr>
        <w:spacing w:before="156" w:after="156"/>
        <w:ind w:left="0"/>
        <w:rPr>
          <w:rFonts w:hint="eastAsia"/>
        </w:rPr>
      </w:pPr>
      <w:r>
        <w:rPr>
          <w:rFonts w:hint="eastAsia"/>
        </w:rPr>
        <w:t>瘪仁</w:t>
      </w:r>
    </w:p>
    <w:p>
      <w:pPr>
        <w:pStyle w:val="7"/>
        <w:rPr>
          <w:rFonts w:hint="eastAsia"/>
        </w:rPr>
      </w:pPr>
      <w:r>
        <w:rPr>
          <w:rFonts w:hint="eastAsia"/>
        </w:rPr>
        <w:t>果仁干瘪、皱缩，果仁直径小于坚果</w:t>
      </w:r>
      <w:r>
        <w:rPr>
          <w:rFonts w:hint="eastAsia"/>
          <w:lang w:eastAsia="zh-CN"/>
        </w:rPr>
        <w:t>果</w:t>
      </w:r>
      <w:r>
        <w:rPr>
          <w:rFonts w:hint="eastAsia"/>
        </w:rPr>
        <w:t>腔直径的二分之一</w:t>
      </w:r>
      <w:r>
        <w:rPr>
          <w:rFonts w:hint="eastAsia"/>
          <w:lang w:eastAsia="zh-CN"/>
        </w:rPr>
        <w:t>及以上</w:t>
      </w:r>
      <w:r>
        <w:rPr>
          <w:rFonts w:hint="eastAsia"/>
        </w:rPr>
        <w:t>。</w:t>
      </w:r>
    </w:p>
    <w:p>
      <w:pPr>
        <w:pStyle w:val="10"/>
        <w:numPr>
          <w:ilvl w:val="1"/>
          <w:numId w:val="1"/>
        </w:numPr>
        <w:spacing w:before="156" w:after="156"/>
        <w:ind w:left="0"/>
        <w:rPr>
          <w:rFonts w:hint="eastAsia"/>
        </w:rPr>
      </w:pPr>
      <w:r>
        <w:rPr>
          <w:rFonts w:hint="eastAsia"/>
        </w:rPr>
        <w:t>缺隐果</w:t>
      </w:r>
    </w:p>
    <w:p>
      <w:pPr>
        <w:pStyle w:val="7"/>
        <w:rPr>
          <w:rFonts w:hint="eastAsia"/>
        </w:rPr>
      </w:pPr>
      <w:r>
        <w:rPr>
          <w:rFonts w:hint="eastAsia"/>
        </w:rPr>
        <w:t>裂果、虫蛀果、果基附着有果苞残存物及外观有明显缺陷的坚果。</w:t>
      </w:r>
    </w:p>
    <w:p>
      <w:pPr>
        <w:pStyle w:val="10"/>
        <w:numPr>
          <w:ilvl w:val="1"/>
          <w:numId w:val="1"/>
        </w:numPr>
        <w:spacing w:before="156" w:after="156"/>
        <w:ind w:left="0"/>
        <w:rPr>
          <w:rFonts w:hint="eastAsia"/>
        </w:rPr>
      </w:pPr>
      <w:r>
        <w:rPr>
          <w:rFonts w:hint="eastAsia"/>
        </w:rPr>
        <w:t>缺隐果仁</w:t>
      </w:r>
    </w:p>
    <w:p>
      <w:pPr>
        <w:pStyle w:val="7"/>
        <w:rPr>
          <w:rFonts w:hint="eastAsia"/>
        </w:rPr>
      </w:pPr>
      <w:r>
        <w:rPr>
          <w:rFonts w:hint="eastAsia"/>
        </w:rPr>
        <w:t>酸败果仁、霉变果仁、瘪仁、虫蛀果仁等有明显缺陷果仁的总称。</w:t>
      </w:r>
    </w:p>
    <w:p>
      <w:pPr>
        <w:pStyle w:val="10"/>
        <w:numPr>
          <w:ilvl w:val="1"/>
          <w:numId w:val="1"/>
        </w:numPr>
        <w:spacing w:before="156" w:after="156"/>
        <w:ind w:left="0"/>
        <w:rPr>
          <w:rFonts w:hint="eastAsia"/>
        </w:rPr>
      </w:pPr>
      <w:r>
        <w:rPr>
          <w:rFonts w:hint="eastAsia"/>
        </w:rPr>
        <w:t>杂质</w:t>
      </w:r>
    </w:p>
    <w:p>
      <w:pPr>
        <w:pStyle w:val="7"/>
        <w:rPr>
          <w:rFonts w:hint="eastAsia"/>
        </w:rPr>
      </w:pPr>
      <w:r>
        <w:rPr>
          <w:rFonts w:hint="eastAsia"/>
        </w:rPr>
        <w:t>除榛子坚果之外的异物。</w:t>
      </w:r>
    </w:p>
    <w:p>
      <w:pPr>
        <w:pStyle w:val="10"/>
        <w:numPr>
          <w:ilvl w:val="1"/>
          <w:numId w:val="1"/>
        </w:numPr>
        <w:spacing w:before="156" w:after="156"/>
        <w:ind w:left="0"/>
        <w:rPr>
          <w:rFonts w:hint="eastAsia"/>
        </w:rPr>
      </w:pPr>
      <w:r>
        <w:rPr>
          <w:rFonts w:hint="eastAsia"/>
        </w:rPr>
        <w:t>熟榛子</w:t>
      </w:r>
    </w:p>
    <w:p>
      <w:pPr>
        <w:pStyle w:val="7"/>
        <w:rPr>
          <w:rFonts w:hint="eastAsia"/>
        </w:rPr>
      </w:pPr>
      <w:r>
        <w:rPr>
          <w:rFonts w:hint="eastAsia"/>
        </w:rPr>
        <w:t>以榛子为原料，添加或不添加辅料，经炒制、烘烤</w:t>
      </w:r>
      <w:r>
        <w:rPr>
          <w:rFonts w:hint="eastAsia"/>
          <w:lang w:eastAsia="zh-CN"/>
        </w:rPr>
        <w:t>等</w:t>
      </w:r>
      <w:r>
        <w:rPr>
          <w:rFonts w:hint="eastAsia"/>
        </w:rPr>
        <w:t>工艺制成的熟榛子。</w:t>
      </w:r>
    </w:p>
    <w:p>
      <w:pPr>
        <w:pStyle w:val="9"/>
        <w:numPr>
          <w:ilvl w:val="0"/>
          <w:numId w:val="1"/>
        </w:numPr>
        <w:spacing w:before="312" w:after="312"/>
        <w:outlineLvl w:val="0"/>
        <w:rPr>
          <w:rFonts w:hint="eastAsia"/>
        </w:rPr>
      </w:pPr>
      <w:bookmarkStart w:id="5" w:name="_Toc7119"/>
      <w:r>
        <w:rPr>
          <w:rFonts w:hint="eastAsia"/>
        </w:rPr>
        <w:t>地理标志产品保护范围</w:t>
      </w:r>
      <w:bookmarkEnd w:id="5"/>
    </w:p>
    <w:p>
      <w:pPr>
        <w:pStyle w:val="7"/>
        <w:rPr>
          <w:rFonts w:hint="eastAsia"/>
        </w:rPr>
      </w:pPr>
      <w:r>
        <w:rPr>
          <w:rFonts w:hint="eastAsia"/>
        </w:rPr>
        <w:t>桓仁</w:t>
      </w:r>
      <w:r>
        <w:rPr>
          <w:rFonts w:hint="eastAsia"/>
          <w:lang w:eastAsia="zh-CN"/>
        </w:rPr>
        <w:t>大榛子</w:t>
      </w:r>
      <w:r>
        <w:rPr>
          <w:rFonts w:hint="eastAsia"/>
        </w:rPr>
        <w:t>地理标志产品保护范围限于国家质量监督检验检疫总局根据《地理标志产品保护规定》批准的范围，即辽宁省本溪市桓仁满族自治县现辖行政区域范围，地理位置在北纬40°54′-41°32′，东经124°27′-125°40′。地理标志</w:t>
      </w:r>
      <w:r>
        <w:rPr>
          <w:rFonts w:hint="eastAsia"/>
          <w:lang w:eastAsia="zh-CN"/>
        </w:rPr>
        <w:t>产品</w:t>
      </w:r>
      <w:r>
        <w:rPr>
          <w:rFonts w:hint="eastAsia"/>
        </w:rPr>
        <w:t>保护</w:t>
      </w:r>
      <w:r>
        <w:rPr>
          <w:rFonts w:hint="eastAsia"/>
          <w:lang w:eastAsia="zh-CN"/>
        </w:rPr>
        <w:t>范围</w:t>
      </w:r>
      <w:r>
        <w:rPr>
          <w:rFonts w:hint="eastAsia"/>
        </w:rPr>
        <w:t>见附录A。</w:t>
      </w:r>
    </w:p>
    <w:p>
      <w:pPr>
        <w:pStyle w:val="9"/>
        <w:numPr>
          <w:ilvl w:val="0"/>
          <w:numId w:val="1"/>
        </w:numPr>
        <w:spacing w:before="312" w:after="312"/>
        <w:rPr>
          <w:rFonts w:hint="eastAsia"/>
        </w:rPr>
      </w:pPr>
      <w:r>
        <w:rPr>
          <w:rFonts w:hint="eastAsia"/>
        </w:rPr>
        <w:t>要求</w:t>
      </w:r>
    </w:p>
    <w:p>
      <w:pPr>
        <w:pStyle w:val="10"/>
        <w:numPr>
          <w:ilvl w:val="1"/>
          <w:numId w:val="1"/>
        </w:numPr>
        <w:spacing w:before="156" w:after="156"/>
        <w:ind w:left="0"/>
        <w:rPr>
          <w:rFonts w:hint="eastAsia"/>
        </w:rPr>
      </w:pPr>
      <w:r>
        <w:rPr>
          <w:rFonts w:hint="eastAsia"/>
        </w:rPr>
        <w:t>基本要求</w:t>
      </w:r>
    </w:p>
    <w:p>
      <w:pPr>
        <w:pStyle w:val="7"/>
        <w:rPr>
          <w:rFonts w:hint="eastAsia"/>
        </w:rPr>
      </w:pPr>
      <w:r>
        <w:rPr>
          <w:rFonts w:hint="eastAsia"/>
        </w:rPr>
        <w:t>坚果成熟，外观形态完好、整齐，呈自然黄色、棕色，无霉变。</w:t>
      </w:r>
    </w:p>
    <w:p>
      <w:pPr>
        <w:pStyle w:val="10"/>
        <w:numPr>
          <w:ilvl w:val="1"/>
          <w:numId w:val="1"/>
        </w:numPr>
        <w:spacing w:before="156" w:after="156"/>
        <w:ind w:left="0"/>
        <w:rPr>
          <w:rFonts w:hint="eastAsia"/>
        </w:rPr>
      </w:pPr>
      <w:r>
        <w:rPr>
          <w:rFonts w:hint="eastAsia"/>
        </w:rPr>
        <w:t>理化要求</w:t>
      </w:r>
    </w:p>
    <w:p>
      <w:pPr>
        <w:pStyle w:val="7"/>
        <w:rPr>
          <w:rFonts w:hint="eastAsia"/>
        </w:rPr>
      </w:pPr>
      <w:r>
        <w:rPr>
          <w:rFonts w:hint="eastAsia"/>
        </w:rPr>
        <w:t>理化指标应符合表1的规定</w:t>
      </w: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15"/>
        <w:numPr>
          <w:ilvl w:val="0"/>
          <w:numId w:val="0"/>
        </w:numPr>
        <w:spacing w:before="156" w:after="156"/>
        <w:ind w:leftChars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表</w:t>
      </w:r>
      <w:r>
        <w:rPr>
          <w:rFonts w:hint="eastAsia" w:ascii="宋体" w:hAnsi="宋体" w:eastAsia="宋体" w:cs="宋体"/>
          <w:lang w:val="en-US" w:eastAsia="zh-CN"/>
        </w:rPr>
        <w:t xml:space="preserve">1 </w:t>
      </w:r>
      <w:r>
        <w:rPr>
          <w:rFonts w:hint="eastAsia" w:ascii="宋体" w:hAnsi="宋体" w:eastAsia="宋体" w:cs="宋体"/>
        </w:rPr>
        <w:t>理化指标</w:t>
      </w:r>
    </w:p>
    <w:tbl>
      <w:tblPr>
        <w:tblStyle w:val="4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850"/>
        <w:gridCol w:w="850"/>
        <w:gridCol w:w="967"/>
        <w:gridCol w:w="866"/>
        <w:gridCol w:w="882"/>
        <w:gridCol w:w="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1260" w:firstLineChars="6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    目</w:t>
            </w:r>
          </w:p>
        </w:tc>
        <w:tc>
          <w:tcPr>
            <w:tcW w:w="3153" w:type="pct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firstLine="2205" w:firstLineChars="10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指       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64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生榛子/果仁</w:t>
            </w:r>
          </w:p>
        </w:tc>
        <w:tc>
          <w:tcPr>
            <w:tcW w:w="1588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熟榛子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特等品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</w:rPr>
              <w:t>一等品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</w:rPr>
              <w:t>二等品</w:t>
            </w:r>
          </w:p>
        </w:tc>
        <w:tc>
          <w:tcPr>
            <w:tcW w:w="508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特等品</w:t>
            </w:r>
          </w:p>
        </w:tc>
        <w:tc>
          <w:tcPr>
            <w:tcW w:w="517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</w:rPr>
              <w:t>一等品</w:t>
            </w:r>
          </w:p>
        </w:tc>
        <w:tc>
          <w:tcPr>
            <w:tcW w:w="563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</w:rPr>
              <w:t>二等品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184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水分（g/100g）</w:t>
            </w:r>
            <w:r>
              <w:rPr>
                <w:rFonts w:hint="eastAsia" w:ascii="宋体" w:hAnsi="宋体"/>
                <w:sz w:val="18"/>
                <w:szCs w:val="18"/>
              </w:rPr>
              <w:t>≤</w:t>
            </w:r>
          </w:p>
        </w:tc>
        <w:tc>
          <w:tcPr>
            <w:tcW w:w="15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420" w:firstLineChars="200"/>
              <w:jc w:val="center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10.0</w:t>
            </w:r>
          </w:p>
        </w:tc>
        <w:tc>
          <w:tcPr>
            <w:tcW w:w="15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6.0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灰分（g/100g）≤</w:t>
            </w:r>
          </w:p>
        </w:tc>
        <w:tc>
          <w:tcPr>
            <w:tcW w:w="31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3.0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出仁率/（%）≥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40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空壳率/（%）≤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</w:rPr>
              <w:t>7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</w:rPr>
              <w:t>10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</w:rPr>
              <w:t>7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184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缺陷果率/（%）≤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</w:rPr>
              <w:t>7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297" w:hRule="atLeast"/>
        </w:trPr>
        <w:tc>
          <w:tcPr>
            <w:tcW w:w="184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缺陷果仁率/（%）≤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</w:rPr>
              <w:t>11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</w:rPr>
              <w:t>16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</w:rPr>
              <w:t>11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84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杂质/（%） ≤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210" w:firstLineChars="100"/>
              <w:jc w:val="center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210" w:firstLineChars="100"/>
              <w:jc w:val="center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蛋白质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</w:rPr>
              <w:t>g/100g） ≥</w:t>
            </w:r>
          </w:p>
        </w:tc>
        <w:tc>
          <w:tcPr>
            <w:tcW w:w="31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脂肪/（g/100g）                  ≥</w:t>
            </w:r>
          </w:p>
        </w:tc>
        <w:tc>
          <w:tcPr>
            <w:tcW w:w="315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46.0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酸价（以脂肪计，KOH）/（mg/g）   ≤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-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5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1846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过氧化值（以脂肪计）（g/100g）   ≤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-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5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0.5</w:t>
            </w:r>
          </w:p>
        </w:tc>
      </w:tr>
    </w:tbl>
    <w:p>
      <w:pPr>
        <w:pStyle w:val="10"/>
        <w:numPr>
          <w:ilvl w:val="1"/>
          <w:numId w:val="1"/>
        </w:numPr>
        <w:spacing w:before="156" w:after="156"/>
        <w:ind w:left="0"/>
        <w:rPr>
          <w:rFonts w:hint="eastAsia"/>
        </w:rPr>
      </w:pPr>
      <w:r>
        <w:rPr>
          <w:rFonts w:hint="eastAsia"/>
        </w:rPr>
        <w:t>污染物限量和真菌毒素限量</w:t>
      </w:r>
    </w:p>
    <w:p>
      <w:pPr>
        <w:pStyle w:val="11"/>
        <w:numPr>
          <w:ilvl w:val="2"/>
          <w:numId w:val="1"/>
        </w:numPr>
        <w:spacing w:before="156" w:after="156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污染限量应符合GB 2762中坚果及籽类的规定。</w:t>
      </w:r>
    </w:p>
    <w:p>
      <w:pPr>
        <w:pStyle w:val="11"/>
        <w:numPr>
          <w:ilvl w:val="2"/>
          <w:numId w:val="1"/>
        </w:numPr>
        <w:spacing w:before="156" w:after="156"/>
        <w:rPr>
          <w:rFonts w:hint="eastAsia"/>
        </w:rPr>
      </w:pPr>
      <w:r>
        <w:rPr>
          <w:rFonts w:hint="eastAsia" w:ascii="宋体" w:hAnsi="宋体" w:eastAsia="宋体"/>
        </w:rPr>
        <w:t>真菌毒素限量应符合GB 2761中坚果及籽类的规定。</w:t>
      </w:r>
    </w:p>
    <w:p>
      <w:pPr>
        <w:pStyle w:val="10"/>
        <w:numPr>
          <w:ilvl w:val="1"/>
          <w:numId w:val="1"/>
        </w:numPr>
        <w:spacing w:before="156" w:after="156"/>
        <w:ind w:left="0"/>
        <w:rPr>
          <w:rFonts w:hint="eastAsia"/>
        </w:rPr>
      </w:pPr>
      <w:r>
        <w:rPr>
          <w:rFonts w:hint="eastAsia"/>
        </w:rPr>
        <w:t>农药残留限量</w:t>
      </w:r>
    </w:p>
    <w:p>
      <w:pPr>
        <w:pStyle w:val="10"/>
        <w:spacing w:before="156" w:after="156"/>
        <w:ind w:left="31680" w:hanging="67357" w:hangingChars="32075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   应该符合GB 2763的规定。</w:t>
      </w:r>
    </w:p>
    <w:p>
      <w:pPr>
        <w:pStyle w:val="10"/>
        <w:numPr>
          <w:ilvl w:val="1"/>
          <w:numId w:val="1"/>
        </w:numPr>
        <w:spacing w:before="156" w:after="156"/>
        <w:ind w:left="0"/>
        <w:rPr>
          <w:rFonts w:hint="eastAsia"/>
        </w:rPr>
      </w:pPr>
      <w:r>
        <w:rPr>
          <w:rFonts w:hint="eastAsia"/>
        </w:rPr>
        <w:t>微生物限量</w:t>
      </w:r>
    </w:p>
    <w:p>
      <w:pPr>
        <w:pStyle w:val="11"/>
        <w:numPr>
          <w:ilvl w:val="2"/>
          <w:numId w:val="1"/>
        </w:numPr>
        <w:spacing w:before="156" w:after="156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致病菌限量应符合GB 29921的规定。</w:t>
      </w:r>
    </w:p>
    <w:p>
      <w:pPr>
        <w:pStyle w:val="11"/>
        <w:numPr>
          <w:ilvl w:val="2"/>
          <w:numId w:val="1"/>
        </w:numPr>
        <w:spacing w:before="156" w:after="156"/>
        <w:rPr>
          <w:rFonts w:hint="eastAsia"/>
        </w:rPr>
      </w:pPr>
      <w:r>
        <w:rPr>
          <w:rFonts w:hint="eastAsia"/>
        </w:rPr>
        <w:t>微生物限量应符合表2规定</w:t>
      </w:r>
    </w:p>
    <w:p>
      <w:pPr>
        <w:pStyle w:val="11"/>
        <w:spacing w:before="156" w:after="156"/>
        <w:rPr>
          <w:rFonts w:hint="eastAsia"/>
        </w:rPr>
      </w:pPr>
      <w:r>
        <w:rPr>
          <w:rFonts w:hint="eastAsia"/>
        </w:rPr>
        <w:t xml:space="preserve">                              </w:t>
      </w:r>
      <w:r>
        <w:rPr>
          <w:rFonts w:hint="eastAsia" w:ascii="宋体" w:hAnsi="宋体" w:eastAsia="宋体"/>
        </w:rPr>
        <w:t>表2  微生物限量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770"/>
        <w:gridCol w:w="1770"/>
        <w:gridCol w:w="1770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cs="Calibri"/>
                <w:kern w:val="2"/>
                <w:sz w:val="21"/>
                <w:szCs w:val="21"/>
              </w:rPr>
            </w:pPr>
            <w:r>
              <w:rPr>
                <w:rFonts w:hint="eastAsia" w:cs="Calibri"/>
                <w:kern w:val="2"/>
                <w:sz w:val="21"/>
                <w:szCs w:val="21"/>
              </w:rPr>
              <w:t>项目</w:t>
            </w:r>
          </w:p>
        </w:tc>
        <w:tc>
          <w:tcPr>
            <w:tcW w:w="41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cs="Calibri"/>
                <w:kern w:val="2"/>
                <w:sz w:val="21"/>
                <w:szCs w:val="21"/>
              </w:rPr>
            </w:pPr>
            <w:r>
              <w:rPr>
                <w:rFonts w:hint="eastAsia" w:cs="Calibri"/>
                <w:kern w:val="2"/>
                <w:sz w:val="21"/>
                <w:szCs w:val="21"/>
              </w:rPr>
              <w:t>采样方案</w:t>
            </w:r>
            <w:r>
              <w:rPr>
                <w:rFonts w:hint="eastAsia" w:cs="Calibri"/>
                <w:kern w:val="2"/>
                <w:sz w:val="21"/>
                <w:szCs w:val="21"/>
                <w:vertAlign w:val="superscript"/>
              </w:rPr>
              <w:t>a</w:t>
            </w:r>
            <w:r>
              <w:rPr>
                <w:rFonts w:hint="eastAsia" w:cs="Calibri"/>
                <w:kern w:val="2"/>
                <w:sz w:val="21"/>
                <w:szCs w:val="21"/>
              </w:rPr>
              <w:t>及限量（若非指定，均以CFU/g表示）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sz w:val="21"/>
                <w:szCs w:val="21"/>
              </w:rPr>
            </w:pP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cs="Calibri"/>
                <w:kern w:val="2"/>
                <w:sz w:val="21"/>
                <w:szCs w:val="21"/>
              </w:rPr>
            </w:pPr>
            <w:r>
              <w:rPr>
                <w:rFonts w:hint="eastAsia" w:cs="Calibri"/>
                <w:kern w:val="2"/>
                <w:sz w:val="21"/>
                <w:szCs w:val="21"/>
              </w:rPr>
              <w:t>n</w:t>
            </w: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cs="Calibri"/>
                <w:kern w:val="2"/>
                <w:sz w:val="21"/>
                <w:szCs w:val="21"/>
              </w:rPr>
            </w:pPr>
            <w:r>
              <w:rPr>
                <w:rFonts w:hint="eastAsia" w:cs="Calibri"/>
                <w:kern w:val="2"/>
                <w:sz w:val="21"/>
                <w:szCs w:val="21"/>
              </w:rPr>
              <w:t>c</w:t>
            </w: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cs="Calibri"/>
                <w:kern w:val="2"/>
                <w:sz w:val="21"/>
                <w:szCs w:val="21"/>
              </w:rPr>
            </w:pPr>
            <w:r>
              <w:rPr>
                <w:rFonts w:hint="eastAsia" w:cs="Calibri"/>
                <w:kern w:val="2"/>
                <w:sz w:val="21"/>
                <w:szCs w:val="21"/>
              </w:rPr>
              <w:t>m</w:t>
            </w: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cs="Calibri"/>
                <w:kern w:val="2"/>
                <w:sz w:val="21"/>
                <w:szCs w:val="21"/>
              </w:rPr>
            </w:pPr>
            <w:r>
              <w:rPr>
                <w:rFonts w:hint="eastAsia" w:cs="Calibri"/>
                <w:kern w:val="2"/>
                <w:sz w:val="21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cs="Calibri"/>
                <w:kern w:val="2"/>
                <w:sz w:val="21"/>
                <w:szCs w:val="21"/>
              </w:rPr>
            </w:pPr>
            <w:r>
              <w:rPr>
                <w:rFonts w:hint="eastAsia" w:cs="Calibri"/>
                <w:kern w:val="2"/>
                <w:sz w:val="21"/>
                <w:szCs w:val="21"/>
              </w:rPr>
              <w:t>大肠菌群</w:t>
            </w: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cs="Calibri"/>
                <w:kern w:val="2"/>
                <w:sz w:val="21"/>
                <w:szCs w:val="21"/>
              </w:rPr>
            </w:pPr>
            <w:r>
              <w:rPr>
                <w:rFonts w:hint="eastAsia" w:cs="Calibri"/>
                <w:kern w:val="2"/>
                <w:sz w:val="21"/>
                <w:szCs w:val="21"/>
              </w:rPr>
              <w:t>5</w:t>
            </w: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cs="Calibri"/>
                <w:kern w:val="2"/>
                <w:sz w:val="21"/>
                <w:szCs w:val="21"/>
              </w:rPr>
            </w:pPr>
            <w:r>
              <w:rPr>
                <w:rFonts w:hint="eastAsia" w:cs="Calibri"/>
                <w:kern w:val="2"/>
                <w:sz w:val="21"/>
                <w:szCs w:val="21"/>
              </w:rPr>
              <w:t>2</w:t>
            </w: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cs="Calibri"/>
                <w:kern w:val="2"/>
                <w:sz w:val="21"/>
                <w:szCs w:val="21"/>
              </w:rPr>
            </w:pPr>
            <w:r>
              <w:rPr>
                <w:rFonts w:hint="eastAsia" w:cs="Calibri"/>
                <w:kern w:val="2"/>
                <w:sz w:val="21"/>
                <w:szCs w:val="21"/>
              </w:rPr>
              <w:t>10</w:t>
            </w: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cs="Calibri"/>
                <w:kern w:val="2"/>
                <w:sz w:val="21"/>
                <w:szCs w:val="21"/>
              </w:rPr>
            </w:pPr>
            <w:r>
              <w:rPr>
                <w:rFonts w:hint="eastAsia" w:cs="Calibri"/>
                <w:kern w:val="2"/>
                <w:sz w:val="21"/>
                <w:szCs w:val="21"/>
              </w:rPr>
              <w:t>10</w:t>
            </w:r>
            <w:r>
              <w:rPr>
                <w:rFonts w:hint="eastAsia" w:cs="Calibri"/>
                <w:kern w:val="2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cs="Calibri"/>
                <w:kern w:val="2"/>
                <w:sz w:val="18"/>
              </w:rPr>
            </w:pPr>
            <w:r>
              <w:rPr>
                <w:rFonts w:hint="eastAsia" w:cs="Calibri"/>
                <w:kern w:val="2"/>
                <w:sz w:val="21"/>
                <w:szCs w:val="21"/>
              </w:rPr>
              <w:t>霉菌</w:t>
            </w:r>
            <w:r>
              <w:rPr>
                <w:rFonts w:hint="eastAsia" w:cs="Calibri"/>
                <w:kern w:val="2"/>
                <w:sz w:val="21"/>
                <w:szCs w:val="21"/>
                <w:vertAlign w:val="superscript"/>
              </w:rPr>
              <w:t>b</w:t>
            </w:r>
            <w:r>
              <w:rPr>
                <w:rFonts w:hint="eastAsia"/>
                <w:kern w:val="2"/>
                <w:sz w:val="21"/>
                <w:szCs w:val="21"/>
              </w:rPr>
              <w:t>≦</w:t>
            </w:r>
          </w:p>
        </w:tc>
        <w:tc>
          <w:tcPr>
            <w:tcW w:w="41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cs="Calibri"/>
                <w:kern w:val="2"/>
                <w:sz w:val="21"/>
                <w:szCs w:val="21"/>
              </w:rPr>
            </w:pPr>
            <w:r>
              <w:rPr>
                <w:rFonts w:hint="eastAsia" w:cs="Calibri"/>
                <w:kern w:val="2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ind w:left="0" w:leftChars="0" w:firstLine="0" w:firstLineChars="0"/>
              <w:rPr>
                <w:rFonts w:hint="eastAsia" w:cs="Calibri"/>
                <w:kern w:val="2"/>
                <w:sz w:val="21"/>
                <w:szCs w:val="21"/>
              </w:rPr>
            </w:pPr>
            <w:r>
              <w:rPr>
                <w:rFonts w:hint="eastAsia" w:cs="Calibri"/>
                <w:kern w:val="2"/>
                <w:sz w:val="21"/>
                <w:szCs w:val="21"/>
              </w:rPr>
              <w:t>a 样品的采集及处理按GB 4789.1执行。</w:t>
            </w:r>
          </w:p>
          <w:p>
            <w:pPr>
              <w:pStyle w:val="7"/>
              <w:ind w:left="0" w:leftChars="0" w:firstLine="0" w:firstLineChars="0"/>
              <w:rPr>
                <w:rFonts w:cs="Calibri"/>
                <w:kern w:val="2"/>
                <w:sz w:val="21"/>
                <w:szCs w:val="21"/>
              </w:rPr>
            </w:pPr>
            <w:r>
              <w:rPr>
                <w:rFonts w:hint="eastAsia" w:cs="Calibri"/>
                <w:kern w:val="2"/>
                <w:sz w:val="21"/>
                <w:szCs w:val="21"/>
              </w:rPr>
              <w:t>b 仅适用于烘炒加工的熟制坚果与籽类食品。</w:t>
            </w:r>
          </w:p>
        </w:tc>
      </w:tr>
    </w:tbl>
    <w:p>
      <w:pPr>
        <w:pStyle w:val="10"/>
        <w:numPr>
          <w:ilvl w:val="1"/>
          <w:numId w:val="1"/>
        </w:numPr>
        <w:spacing w:before="156" w:after="156"/>
        <w:ind w:left="0"/>
        <w:rPr>
          <w:rFonts w:hint="eastAsia"/>
        </w:rPr>
      </w:pPr>
      <w:r>
        <w:rPr>
          <w:rFonts w:hint="eastAsia"/>
        </w:rPr>
        <w:t>食品添加剂</w:t>
      </w:r>
    </w:p>
    <w:p>
      <w:pPr>
        <w:pStyle w:val="7"/>
        <w:rPr>
          <w:rFonts w:hint="eastAsia"/>
        </w:rPr>
      </w:pPr>
      <w:r>
        <w:rPr>
          <w:rFonts w:hint="eastAsia"/>
        </w:rPr>
        <w:t>食品添加剂的使用应该符合GB 2760的规定。</w:t>
      </w:r>
    </w:p>
    <w:p>
      <w:pPr>
        <w:pStyle w:val="10"/>
        <w:numPr>
          <w:ilvl w:val="1"/>
          <w:numId w:val="1"/>
        </w:numPr>
        <w:spacing w:before="156" w:after="156"/>
        <w:ind w:left="0"/>
        <w:rPr>
          <w:rFonts w:hint="eastAsia"/>
        </w:rPr>
      </w:pPr>
      <w:r>
        <w:rPr>
          <w:rFonts w:hint="eastAsia"/>
        </w:rPr>
        <w:t>净含量</w:t>
      </w:r>
    </w:p>
    <w:p>
      <w:pPr>
        <w:pStyle w:val="7"/>
        <w:rPr>
          <w:rFonts w:hint="eastAsia"/>
        </w:rPr>
      </w:pPr>
      <w:r>
        <w:rPr>
          <w:rFonts w:hint="eastAsia"/>
        </w:rPr>
        <w:t>应符合国家《定量包装商品计量监督管理办法》。</w:t>
      </w:r>
    </w:p>
    <w:p>
      <w:pPr>
        <w:pStyle w:val="9"/>
        <w:numPr>
          <w:ilvl w:val="0"/>
          <w:numId w:val="1"/>
        </w:numPr>
        <w:spacing w:before="312" w:after="312"/>
        <w:outlineLvl w:val="0"/>
        <w:rPr>
          <w:rFonts w:hint="eastAsia"/>
        </w:rPr>
      </w:pPr>
      <w:bookmarkStart w:id="6" w:name="_Toc6318"/>
      <w:r>
        <w:rPr>
          <w:rFonts w:hint="eastAsia"/>
        </w:rPr>
        <w:t>生产加工过程卫生要求</w:t>
      </w:r>
      <w:bookmarkEnd w:id="6"/>
    </w:p>
    <w:p>
      <w:pPr>
        <w:pStyle w:val="7"/>
        <w:rPr>
          <w:rFonts w:hint="eastAsia"/>
        </w:rPr>
      </w:pPr>
      <w:r>
        <w:rPr>
          <w:rFonts w:hint="eastAsia"/>
        </w:rPr>
        <w:t>按GB 14881规定执行。</w:t>
      </w:r>
    </w:p>
    <w:p>
      <w:pPr>
        <w:pStyle w:val="9"/>
        <w:numPr>
          <w:ilvl w:val="0"/>
          <w:numId w:val="1"/>
        </w:numPr>
        <w:spacing w:before="312" w:after="312"/>
        <w:outlineLvl w:val="0"/>
        <w:rPr>
          <w:rFonts w:hint="eastAsia"/>
        </w:rPr>
      </w:pPr>
      <w:bookmarkStart w:id="7" w:name="_Toc30156"/>
      <w:r>
        <w:rPr>
          <w:rFonts w:hint="eastAsia"/>
        </w:rPr>
        <w:t>检验方法</w:t>
      </w:r>
      <w:bookmarkEnd w:id="7"/>
    </w:p>
    <w:p>
      <w:pPr>
        <w:pStyle w:val="16"/>
        <w:numPr>
          <w:ilvl w:val="1"/>
          <w:numId w:val="1"/>
        </w:numPr>
        <w:ind w:left="0"/>
        <w:rPr>
          <w:rFonts w:hint="eastAsia"/>
        </w:rPr>
      </w:pPr>
      <w:r>
        <w:rPr>
          <w:rFonts w:hint="eastAsia" w:ascii="黑体" w:hAnsi="黑体" w:eastAsia="黑体"/>
        </w:rPr>
        <w:t>感官要求</w:t>
      </w:r>
    </w:p>
    <w:p>
      <w:pPr>
        <w:pStyle w:val="16"/>
        <w:rPr>
          <w:rFonts w:hint="eastAsia"/>
        </w:rPr>
      </w:pPr>
      <w:r>
        <w:rPr>
          <w:rFonts w:hint="eastAsia" w:ascii="黑体" w:hAnsi="黑体" w:eastAsia="黑体"/>
        </w:rPr>
        <w:t xml:space="preserve">    </w:t>
      </w:r>
      <w:r>
        <w:rPr>
          <w:rFonts w:hint="eastAsia"/>
        </w:rPr>
        <w:t>在自然光或20W的白炽灯下，将样品置于洁净、干燥的白瓷盘中，用目测检查色泽、颗粒形状和杂质，再将壳去除后用目测检查仁的色泽，嗅其气味、尝其滋味与口感，作出评价。</w:t>
      </w:r>
    </w:p>
    <w:p>
      <w:pPr>
        <w:pStyle w:val="16"/>
        <w:numPr>
          <w:ilvl w:val="1"/>
          <w:numId w:val="1"/>
        </w:numPr>
        <w:ind w:left="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理化指标</w:t>
      </w:r>
    </w:p>
    <w:p>
      <w:pPr>
        <w:pStyle w:val="11"/>
        <w:numPr>
          <w:ilvl w:val="2"/>
          <w:numId w:val="1"/>
        </w:numPr>
        <w:spacing w:before="156" w:after="156"/>
        <w:rPr>
          <w:rFonts w:hint="eastAsia"/>
        </w:rPr>
      </w:pPr>
      <w:r>
        <w:rPr>
          <w:rFonts w:hint="eastAsia"/>
        </w:rPr>
        <w:t>水分</w:t>
      </w:r>
    </w:p>
    <w:p>
      <w:pPr>
        <w:pStyle w:val="7"/>
        <w:rPr>
          <w:rFonts w:hint="eastAsia"/>
        </w:rPr>
      </w:pPr>
      <w:r>
        <w:rPr>
          <w:rFonts w:hint="eastAsia"/>
        </w:rPr>
        <w:t>按GB 5009.3规定的方法测定。</w:t>
      </w:r>
    </w:p>
    <w:p>
      <w:pPr>
        <w:pStyle w:val="11"/>
        <w:numPr>
          <w:ilvl w:val="2"/>
          <w:numId w:val="1"/>
        </w:numPr>
        <w:spacing w:before="156" w:after="156"/>
        <w:rPr>
          <w:rFonts w:hint="eastAsia"/>
        </w:rPr>
      </w:pPr>
      <w:r>
        <w:rPr>
          <w:rFonts w:hint="eastAsia"/>
        </w:rPr>
        <w:t>灰分</w:t>
      </w:r>
    </w:p>
    <w:p>
      <w:pPr>
        <w:pStyle w:val="7"/>
        <w:rPr>
          <w:rFonts w:hint="eastAsia"/>
        </w:rPr>
      </w:pPr>
      <w:r>
        <w:rPr>
          <w:rFonts w:hint="eastAsia"/>
        </w:rPr>
        <w:t>按GB 5009.4规定的方法测定。</w:t>
      </w:r>
    </w:p>
    <w:p>
      <w:pPr>
        <w:pStyle w:val="11"/>
        <w:numPr>
          <w:ilvl w:val="2"/>
          <w:numId w:val="1"/>
        </w:numPr>
        <w:spacing w:before="156" w:after="156"/>
        <w:rPr>
          <w:rFonts w:hint="eastAsia"/>
        </w:rPr>
      </w:pPr>
      <w:r>
        <w:rPr>
          <w:rFonts w:hint="eastAsia"/>
        </w:rPr>
        <w:t>出仁率</w:t>
      </w:r>
    </w:p>
    <w:p>
      <w:pPr>
        <w:pStyle w:val="7"/>
        <w:rPr>
          <w:rFonts w:hint="eastAsia"/>
        </w:rPr>
      </w:pPr>
      <w:r>
        <w:rPr>
          <w:rFonts w:hint="eastAsia"/>
        </w:rPr>
        <w:t>按LY/T 1650规定的方法测定。</w:t>
      </w:r>
    </w:p>
    <w:p>
      <w:pPr>
        <w:pStyle w:val="11"/>
        <w:numPr>
          <w:ilvl w:val="2"/>
          <w:numId w:val="1"/>
        </w:numPr>
        <w:spacing w:before="156" w:after="156"/>
        <w:rPr>
          <w:rFonts w:hint="eastAsia"/>
        </w:rPr>
      </w:pPr>
      <w:r>
        <w:rPr>
          <w:rFonts w:hint="eastAsia"/>
        </w:rPr>
        <w:t>缺陷果率</w:t>
      </w:r>
    </w:p>
    <w:p>
      <w:pPr>
        <w:pStyle w:val="7"/>
        <w:rPr>
          <w:rFonts w:hint="eastAsia"/>
        </w:rPr>
      </w:pPr>
      <w:r>
        <w:rPr>
          <w:rFonts w:hint="eastAsia"/>
        </w:rPr>
        <w:t>按LY/T 1650规定的方法测定。</w:t>
      </w:r>
    </w:p>
    <w:p>
      <w:pPr>
        <w:pStyle w:val="11"/>
        <w:numPr>
          <w:ilvl w:val="2"/>
          <w:numId w:val="1"/>
        </w:numPr>
        <w:spacing w:before="156" w:after="156"/>
        <w:rPr>
          <w:rFonts w:hint="eastAsia"/>
        </w:rPr>
      </w:pPr>
      <w:r>
        <w:rPr>
          <w:rFonts w:hint="eastAsia"/>
        </w:rPr>
        <w:t>缺陷果仁率</w:t>
      </w:r>
    </w:p>
    <w:p>
      <w:pPr>
        <w:pStyle w:val="7"/>
        <w:rPr>
          <w:rFonts w:hint="eastAsia"/>
        </w:rPr>
      </w:pPr>
      <w:r>
        <w:rPr>
          <w:rFonts w:hint="eastAsia"/>
        </w:rPr>
        <w:t>按LY/T 1650规定的方法测定。</w:t>
      </w:r>
    </w:p>
    <w:p>
      <w:pPr>
        <w:pStyle w:val="11"/>
        <w:numPr>
          <w:ilvl w:val="2"/>
          <w:numId w:val="1"/>
        </w:numPr>
        <w:spacing w:before="156" w:after="156"/>
        <w:rPr>
          <w:rFonts w:hint="eastAsia"/>
        </w:rPr>
      </w:pPr>
      <w:r>
        <w:rPr>
          <w:rFonts w:hint="eastAsia"/>
        </w:rPr>
        <w:t>杂质</w:t>
      </w:r>
    </w:p>
    <w:p>
      <w:pPr>
        <w:pStyle w:val="7"/>
        <w:rPr>
          <w:rFonts w:hint="eastAsia"/>
        </w:rPr>
      </w:pPr>
      <w:r>
        <w:rPr>
          <w:rFonts w:hint="eastAsia"/>
        </w:rPr>
        <w:t>按LY/T 1650规定的方法测定。</w:t>
      </w:r>
    </w:p>
    <w:p>
      <w:pPr>
        <w:pStyle w:val="11"/>
        <w:numPr>
          <w:ilvl w:val="2"/>
          <w:numId w:val="1"/>
        </w:numPr>
        <w:spacing w:before="156" w:after="156"/>
        <w:rPr>
          <w:rFonts w:hint="eastAsia"/>
        </w:rPr>
      </w:pPr>
      <w:r>
        <w:rPr>
          <w:rFonts w:hint="eastAsia"/>
        </w:rPr>
        <w:t>蛋白质</w:t>
      </w:r>
    </w:p>
    <w:p>
      <w:pPr>
        <w:pStyle w:val="7"/>
        <w:rPr>
          <w:rFonts w:hint="eastAsia"/>
        </w:rPr>
      </w:pPr>
      <w:r>
        <w:rPr>
          <w:rFonts w:hint="eastAsia"/>
        </w:rPr>
        <w:t>按GB 5009.5规定的方法测定。</w:t>
      </w:r>
    </w:p>
    <w:p>
      <w:pPr>
        <w:pStyle w:val="11"/>
        <w:numPr>
          <w:ilvl w:val="2"/>
          <w:numId w:val="1"/>
        </w:numPr>
        <w:spacing w:before="156" w:after="156"/>
        <w:rPr>
          <w:rFonts w:hint="eastAsia"/>
        </w:rPr>
      </w:pPr>
      <w:r>
        <w:rPr>
          <w:rFonts w:hint="eastAsia"/>
        </w:rPr>
        <w:t>脂肪</w:t>
      </w:r>
    </w:p>
    <w:p>
      <w:pPr>
        <w:pStyle w:val="7"/>
        <w:rPr>
          <w:rFonts w:hint="eastAsia"/>
        </w:rPr>
      </w:pPr>
      <w:r>
        <w:rPr>
          <w:rFonts w:hint="eastAsia"/>
        </w:rPr>
        <w:t>按GB 5009.6规定的方法测定。</w:t>
      </w:r>
    </w:p>
    <w:p>
      <w:pPr>
        <w:pStyle w:val="11"/>
        <w:numPr>
          <w:ilvl w:val="2"/>
          <w:numId w:val="1"/>
        </w:numPr>
        <w:spacing w:before="156" w:after="156"/>
        <w:rPr>
          <w:rFonts w:hint="eastAsia"/>
        </w:rPr>
      </w:pPr>
      <w:r>
        <w:rPr>
          <w:rFonts w:hint="eastAsia"/>
        </w:rPr>
        <w:t>酸价、过氧化值</w:t>
      </w:r>
    </w:p>
    <w:p>
      <w:pPr>
        <w:pStyle w:val="7"/>
        <w:rPr>
          <w:rFonts w:hint="eastAsia"/>
        </w:rPr>
      </w:pPr>
      <w:r>
        <w:rPr>
          <w:rFonts w:hint="eastAsia"/>
        </w:rPr>
        <w:t>按GB 5009.37规定的方法测定。</w:t>
      </w:r>
    </w:p>
    <w:p>
      <w:pPr>
        <w:pStyle w:val="11"/>
        <w:numPr>
          <w:ilvl w:val="2"/>
          <w:numId w:val="1"/>
        </w:numPr>
        <w:spacing w:before="156" w:after="156"/>
        <w:rPr>
          <w:rFonts w:hint="eastAsia"/>
        </w:rPr>
      </w:pPr>
      <w:r>
        <w:rPr>
          <w:rFonts w:hint="eastAsia"/>
        </w:rPr>
        <w:t>卫生指标</w:t>
      </w:r>
    </w:p>
    <w:p>
      <w:pPr>
        <w:pStyle w:val="12"/>
        <w:numPr>
          <w:ilvl w:val="3"/>
          <w:numId w:val="1"/>
        </w:numPr>
        <w:spacing w:before="156" w:after="156"/>
        <w:rPr>
          <w:rFonts w:hint="eastAsia"/>
        </w:rPr>
      </w:pPr>
      <w:r>
        <w:rPr>
          <w:rFonts w:hint="eastAsia"/>
        </w:rPr>
        <w:t>污染物和真菌毒素</w:t>
      </w:r>
    </w:p>
    <w:p>
      <w:pPr>
        <w:pStyle w:val="13"/>
        <w:numPr>
          <w:ilvl w:val="4"/>
          <w:numId w:val="1"/>
        </w:numPr>
        <w:spacing w:before="156" w:after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污染物按GB 2762规定的方法执行。</w:t>
      </w:r>
    </w:p>
    <w:p>
      <w:pPr>
        <w:pStyle w:val="13"/>
        <w:numPr>
          <w:ilvl w:val="4"/>
          <w:numId w:val="1"/>
        </w:numPr>
        <w:spacing w:before="156" w:after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真菌毒素按GB 2761规定的方法执行。</w:t>
      </w:r>
    </w:p>
    <w:p>
      <w:pPr>
        <w:pStyle w:val="12"/>
        <w:numPr>
          <w:ilvl w:val="3"/>
          <w:numId w:val="1"/>
        </w:numPr>
        <w:spacing w:before="156" w:after="156"/>
        <w:rPr>
          <w:rFonts w:hint="eastAsia"/>
        </w:rPr>
      </w:pPr>
      <w:r>
        <w:rPr>
          <w:rFonts w:hint="eastAsia"/>
        </w:rPr>
        <w:t>农药残留、食品添加剂</w:t>
      </w:r>
    </w:p>
    <w:p>
      <w:pPr>
        <w:pStyle w:val="7"/>
        <w:rPr>
          <w:rFonts w:hint="eastAsia"/>
        </w:rPr>
      </w:pPr>
      <w:r>
        <w:rPr>
          <w:rFonts w:hint="eastAsia"/>
        </w:rPr>
        <w:t>农药残留、食品添加剂按GB 2763规定的方法执行。</w:t>
      </w:r>
    </w:p>
    <w:p>
      <w:pPr>
        <w:pStyle w:val="12"/>
        <w:numPr>
          <w:ilvl w:val="3"/>
          <w:numId w:val="1"/>
        </w:numPr>
        <w:spacing w:before="156" w:after="156"/>
        <w:rPr>
          <w:rFonts w:hint="eastAsia"/>
        </w:rPr>
      </w:pPr>
      <w:r>
        <w:rPr>
          <w:rFonts w:hint="eastAsia"/>
        </w:rPr>
        <w:t>微生物指标</w:t>
      </w:r>
    </w:p>
    <w:p>
      <w:pPr>
        <w:pStyle w:val="13"/>
        <w:numPr>
          <w:ilvl w:val="4"/>
          <w:numId w:val="1"/>
        </w:numPr>
        <w:spacing w:before="156" w:after="156"/>
        <w:rPr>
          <w:rFonts w:hint="eastAsia"/>
        </w:rPr>
      </w:pPr>
      <w:r>
        <w:rPr>
          <w:rFonts w:hint="eastAsia" w:ascii="宋体" w:hAnsi="宋体" w:eastAsia="宋体"/>
        </w:rPr>
        <w:t>致病菌按GB 29921规定的方法执行。</w:t>
      </w:r>
    </w:p>
    <w:p>
      <w:pPr>
        <w:pStyle w:val="13"/>
        <w:numPr>
          <w:ilvl w:val="4"/>
          <w:numId w:val="1"/>
        </w:numPr>
        <w:spacing w:before="156" w:after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大肠菌群按GB 4789.3规定的方法执行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pStyle w:val="13"/>
        <w:numPr>
          <w:ilvl w:val="4"/>
          <w:numId w:val="1"/>
        </w:numPr>
        <w:spacing w:before="156" w:after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霉菌、酵母按GB 4789.15规定的方法执行。</w:t>
      </w:r>
    </w:p>
    <w:p>
      <w:pPr>
        <w:pStyle w:val="11"/>
        <w:numPr>
          <w:ilvl w:val="2"/>
          <w:numId w:val="1"/>
        </w:numPr>
        <w:spacing w:before="156" w:after="156"/>
        <w:rPr>
          <w:rFonts w:hint="eastAsia"/>
        </w:rPr>
      </w:pPr>
      <w:r>
        <w:rPr>
          <w:rFonts w:hint="eastAsia"/>
        </w:rPr>
        <w:t>净含量负偏差</w:t>
      </w:r>
    </w:p>
    <w:p>
      <w:pPr>
        <w:pStyle w:val="7"/>
        <w:rPr>
          <w:rFonts w:hint="eastAsia"/>
        </w:rPr>
      </w:pPr>
      <w:r>
        <w:rPr>
          <w:rFonts w:hint="eastAsia"/>
        </w:rPr>
        <w:t>按国家JJF 1070规定的方法测定。</w:t>
      </w:r>
    </w:p>
    <w:p>
      <w:pPr>
        <w:pStyle w:val="9"/>
        <w:numPr>
          <w:ilvl w:val="0"/>
          <w:numId w:val="1"/>
        </w:numPr>
        <w:spacing w:before="312" w:after="312"/>
        <w:outlineLvl w:val="0"/>
        <w:rPr>
          <w:rFonts w:hint="eastAsia"/>
        </w:rPr>
      </w:pPr>
      <w:bookmarkStart w:id="8" w:name="_Toc14580"/>
      <w:r>
        <w:rPr>
          <w:rFonts w:hint="eastAsia"/>
        </w:rPr>
        <w:t>检验规则</w:t>
      </w:r>
      <w:bookmarkEnd w:id="8"/>
    </w:p>
    <w:p>
      <w:pPr>
        <w:pStyle w:val="10"/>
        <w:numPr>
          <w:ilvl w:val="1"/>
          <w:numId w:val="1"/>
        </w:numPr>
        <w:spacing w:before="156" w:after="156"/>
        <w:ind w:left="0"/>
        <w:rPr>
          <w:rFonts w:hint="eastAsia"/>
        </w:rPr>
      </w:pPr>
      <w:r>
        <w:rPr>
          <w:rFonts w:hint="eastAsia"/>
        </w:rPr>
        <w:t>组批</w:t>
      </w:r>
    </w:p>
    <w:p>
      <w:pPr>
        <w:pStyle w:val="7"/>
        <w:rPr>
          <w:rFonts w:hint="eastAsia"/>
        </w:rPr>
      </w:pPr>
      <w:r>
        <w:rPr>
          <w:rFonts w:hint="eastAsia"/>
        </w:rPr>
        <w:t>以同一班次生产的同一品种、同一规格的产品为一批。</w:t>
      </w:r>
    </w:p>
    <w:p>
      <w:pPr>
        <w:pStyle w:val="10"/>
        <w:numPr>
          <w:ilvl w:val="1"/>
          <w:numId w:val="1"/>
        </w:numPr>
        <w:spacing w:before="156" w:after="156"/>
        <w:ind w:left="0"/>
        <w:rPr>
          <w:rFonts w:hint="eastAsia"/>
        </w:rPr>
      </w:pPr>
      <w:r>
        <w:rPr>
          <w:rFonts w:hint="eastAsia"/>
        </w:rPr>
        <w:t>抽样</w:t>
      </w:r>
    </w:p>
    <w:p>
      <w:pPr>
        <w:pStyle w:val="7"/>
        <w:rPr>
          <w:rFonts w:hint="eastAsia"/>
        </w:rPr>
      </w:pPr>
      <w:r>
        <w:rPr>
          <w:rFonts w:hint="eastAsia"/>
        </w:rPr>
        <w:t>从成品库同批产品的不同部位随机抽取样品2.5kg，分别进行感官、理化、微生物指标进行检验。</w:t>
      </w:r>
    </w:p>
    <w:p>
      <w:pPr>
        <w:pStyle w:val="10"/>
        <w:numPr>
          <w:ilvl w:val="1"/>
          <w:numId w:val="1"/>
        </w:numPr>
        <w:spacing w:before="156" w:after="156"/>
        <w:ind w:left="0"/>
        <w:rPr>
          <w:rFonts w:hint="eastAsia"/>
        </w:rPr>
      </w:pPr>
      <w:r>
        <w:rPr>
          <w:rFonts w:hint="eastAsia"/>
        </w:rPr>
        <w:t>检验</w:t>
      </w:r>
    </w:p>
    <w:p>
      <w:pPr>
        <w:pStyle w:val="11"/>
        <w:numPr>
          <w:ilvl w:val="2"/>
          <w:numId w:val="1"/>
        </w:numPr>
        <w:spacing w:before="156" w:after="156"/>
        <w:rPr>
          <w:rFonts w:hint="eastAsia"/>
        </w:rPr>
      </w:pPr>
      <w:r>
        <w:rPr>
          <w:rFonts w:hint="eastAsia"/>
        </w:rPr>
        <w:t>出厂检验及项目</w:t>
      </w:r>
    </w:p>
    <w:p>
      <w:pPr>
        <w:pStyle w:val="12"/>
        <w:numPr>
          <w:ilvl w:val="3"/>
          <w:numId w:val="1"/>
        </w:numPr>
        <w:spacing w:before="156" w:after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生榛子产品出厂前，应由生产企业的检验部门按本标准规定逐批进行检验，检验项目为感官、水分、出仁率、空壳率、缺陷果率、缺陷果仁率、杂质、净含量等指标。检验合格并签发质量合格证明的产品，方可出厂。</w:t>
      </w:r>
    </w:p>
    <w:p>
      <w:pPr>
        <w:pStyle w:val="12"/>
        <w:numPr>
          <w:ilvl w:val="3"/>
          <w:numId w:val="1"/>
        </w:numPr>
        <w:spacing w:before="156" w:after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熟榛子产品出厂前，应由生产企业的检验部门按本标准规定逐批进行检验，检验项目为感官、水分、出仁率、空壳率、缺陷果率、缺陷果仁率、杂质、净含量等指标。检验合格并签发质量合格证明的产品，方可出厂。</w:t>
      </w:r>
    </w:p>
    <w:p>
      <w:pPr>
        <w:pStyle w:val="11"/>
        <w:numPr>
          <w:ilvl w:val="2"/>
          <w:numId w:val="1"/>
        </w:numPr>
        <w:spacing w:before="156" w:after="156"/>
        <w:rPr>
          <w:rFonts w:hint="eastAsia"/>
        </w:rPr>
      </w:pPr>
      <w:r>
        <w:rPr>
          <w:rFonts w:hint="eastAsia"/>
        </w:rPr>
        <w:t>型式检验</w:t>
      </w:r>
    </w:p>
    <w:p>
      <w:pPr>
        <w:pStyle w:val="12"/>
        <w:numPr>
          <w:ilvl w:val="3"/>
          <w:numId w:val="1"/>
        </w:numPr>
        <w:spacing w:before="156" w:after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型式检验每半年进行一次。有下列情况之一时，亦应进行</w:t>
      </w:r>
    </w:p>
    <w:p>
      <w:pPr>
        <w:pStyle w:val="7"/>
        <w:numPr>
          <w:ilvl w:val="0"/>
          <w:numId w:val="0"/>
        </w:numPr>
        <w:rPr>
          <w:rFonts w:hint="eastAsia" w:ascii="宋体" w:hAnsi="宋体" w:eastAsia="宋体" w:cs="宋体"/>
          <w:lang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8.3.2.1.1  </w:t>
      </w:r>
      <w:r>
        <w:rPr>
          <w:rFonts w:hint="eastAsia" w:ascii="宋体" w:hAnsi="宋体" w:eastAsia="宋体" w:cs="宋体"/>
          <w:lang w:val="en-US" w:eastAsia="zh-CN"/>
        </w:rPr>
        <w:t>工艺</w:t>
      </w:r>
      <w:r>
        <w:rPr>
          <w:rFonts w:hint="eastAsia" w:ascii="宋体" w:hAnsi="宋体" w:eastAsia="宋体" w:cs="宋体"/>
        </w:rPr>
        <w:t>或原料发生重大改变时</w:t>
      </w:r>
      <w:r>
        <w:rPr>
          <w:rFonts w:hint="eastAsia" w:cs="宋体"/>
          <w:lang w:eastAsia="zh-CN"/>
        </w:rPr>
        <w:t>。</w:t>
      </w:r>
    </w:p>
    <w:p>
      <w:pPr>
        <w:pStyle w:val="7"/>
        <w:numPr>
          <w:ilvl w:val="0"/>
          <w:numId w:val="0"/>
        </w:numPr>
        <w:rPr>
          <w:rFonts w:hint="eastAsia" w:eastAsia="宋体"/>
          <w:lang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8.3.2.1.2  </w:t>
      </w:r>
      <w:r>
        <w:rPr>
          <w:rFonts w:hint="eastAsia"/>
        </w:rPr>
        <w:t>产品投产鉴定时</w:t>
      </w:r>
      <w:r>
        <w:rPr>
          <w:rFonts w:hint="eastAsia"/>
          <w:lang w:eastAsia="zh-CN"/>
        </w:rPr>
        <w:t>。</w:t>
      </w:r>
    </w:p>
    <w:p>
      <w:pPr>
        <w:pStyle w:val="7"/>
        <w:numPr>
          <w:ilvl w:val="0"/>
          <w:numId w:val="0"/>
        </w:numPr>
        <w:rPr>
          <w:rFonts w:hint="eastAsia" w:eastAsia="宋体"/>
          <w:lang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8.3.2.1.3  </w:t>
      </w:r>
      <w:r>
        <w:rPr>
          <w:rFonts w:hint="eastAsia"/>
        </w:rPr>
        <w:t>产品停产6个月以上再生产时</w:t>
      </w:r>
      <w:r>
        <w:rPr>
          <w:rFonts w:hint="eastAsia"/>
          <w:lang w:eastAsia="zh-CN"/>
        </w:rPr>
        <w:t>。</w:t>
      </w:r>
    </w:p>
    <w:p>
      <w:pPr>
        <w:pStyle w:val="7"/>
        <w:ind w:left="0" w:leftChars="0" w:firstLine="0" w:firstLineChars="0"/>
        <w:rPr>
          <w:rFonts w:hint="eastAsia"/>
          <w:sz w:val="20"/>
          <w:szCs w:val="20"/>
        </w:rPr>
      </w:pPr>
      <w:r>
        <w:rPr>
          <w:rFonts w:hint="eastAsia" w:ascii="黑体" w:hAnsi="黑体" w:eastAsia="黑体" w:cs="黑体"/>
          <w:lang w:val="en-US" w:eastAsia="zh-CN"/>
        </w:rPr>
        <w:t xml:space="preserve">8.3.2.1.4  </w:t>
      </w:r>
      <w:r>
        <w:rPr>
          <w:rFonts w:hint="eastAsia"/>
        </w:rPr>
        <w:t>国家质量监督机构提出要求时。</w:t>
      </w:r>
    </w:p>
    <w:p>
      <w:pPr>
        <w:pStyle w:val="12"/>
        <w:numPr>
          <w:ilvl w:val="3"/>
          <w:numId w:val="1"/>
        </w:numPr>
        <w:spacing w:before="156" w:after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型式检验项目包括</w:t>
      </w:r>
    </w:p>
    <w:p>
      <w:pPr>
        <w:pStyle w:val="12"/>
        <w:numPr>
          <w:ilvl w:val="0"/>
          <w:numId w:val="0"/>
        </w:numPr>
        <w:spacing w:before="156" w:after="156"/>
        <w:ind w:leftChars="0"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本标准要求中规定的全部项目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pStyle w:val="10"/>
        <w:numPr>
          <w:ilvl w:val="1"/>
          <w:numId w:val="1"/>
        </w:numPr>
        <w:spacing w:before="156" w:after="156"/>
        <w:ind w:left="0"/>
        <w:rPr>
          <w:rFonts w:hint="eastAsia"/>
        </w:rPr>
      </w:pPr>
      <w:r>
        <w:rPr>
          <w:rFonts w:hint="eastAsia"/>
        </w:rPr>
        <w:t>判定规则</w:t>
      </w:r>
    </w:p>
    <w:p>
      <w:pPr>
        <w:pStyle w:val="7"/>
        <w:rPr>
          <w:rFonts w:hint="eastAsia"/>
        </w:rPr>
      </w:pPr>
      <w:r>
        <w:rPr>
          <w:rFonts w:hint="eastAsia"/>
        </w:rPr>
        <w:t>产品经检验全部指标符合本标准要求时，判定为合格品。若有不合格项时，可在同批产品中加倍取样对不合格项进行复检，以复检结果为准。污染物、农药残留、微生物等指标不得复检。</w:t>
      </w:r>
    </w:p>
    <w:p>
      <w:pPr>
        <w:pStyle w:val="9"/>
        <w:numPr>
          <w:ilvl w:val="0"/>
          <w:numId w:val="1"/>
        </w:numPr>
        <w:spacing w:before="312" w:after="312"/>
        <w:outlineLvl w:val="0"/>
        <w:rPr>
          <w:rFonts w:hint="eastAsia"/>
        </w:rPr>
      </w:pPr>
      <w:bookmarkStart w:id="9" w:name="_Toc7908"/>
      <w:r>
        <w:rPr>
          <w:rFonts w:hint="eastAsia"/>
        </w:rPr>
        <w:t>标志、包装、运输、贮存</w:t>
      </w:r>
      <w:bookmarkEnd w:id="9"/>
    </w:p>
    <w:p>
      <w:pPr>
        <w:pStyle w:val="10"/>
        <w:numPr>
          <w:ilvl w:val="1"/>
          <w:numId w:val="1"/>
        </w:numPr>
        <w:spacing w:before="156" w:after="156"/>
        <w:ind w:left="0"/>
        <w:rPr>
          <w:rFonts w:hint="eastAsia"/>
        </w:rPr>
      </w:pPr>
      <w:r>
        <w:rPr>
          <w:rFonts w:hint="eastAsia"/>
        </w:rPr>
        <w:t>标志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仿宋" w:hAnsi="仿宋" w:eastAsia="仿宋" w:cs="仿宋"/>
        </w:rPr>
        <w:t xml:space="preserve">   </w:t>
      </w:r>
      <w:r>
        <w:rPr>
          <w:rFonts w:hint="eastAsia" w:ascii="宋体" w:hAnsi="宋体" w:eastAsia="宋体" w:cs="宋体"/>
        </w:rPr>
        <w:t xml:space="preserve"> 标签除应符合GB 7718、GB 28050及国家质量监督检验检疫总局[2005]第78号令《地理标志产品保护规定》，还应标注地理标志产品名称、原料名称、产地。</w:t>
      </w:r>
    </w:p>
    <w:p>
      <w:pPr>
        <w:pStyle w:val="10"/>
        <w:numPr>
          <w:ilvl w:val="1"/>
          <w:numId w:val="1"/>
        </w:numPr>
        <w:spacing w:before="156" w:after="156"/>
        <w:ind w:left="0"/>
        <w:rPr>
          <w:rFonts w:hint="eastAsia"/>
        </w:rPr>
      </w:pPr>
      <w:r>
        <w:rPr>
          <w:rFonts w:hint="eastAsia"/>
        </w:rPr>
        <w:t>包装</w:t>
      </w:r>
    </w:p>
    <w:p>
      <w:pPr>
        <w:pStyle w:val="7"/>
        <w:rPr>
          <w:rFonts w:hint="eastAsia"/>
        </w:rPr>
      </w:pPr>
      <w:r>
        <w:rPr>
          <w:rFonts w:hint="eastAsia"/>
        </w:rPr>
        <w:t xml:space="preserve">外包装采用瓦楞纸箱包装，其质量应符合GB/T 191、GB/T 6543的规定。小包装采用塑料袋包装，其质量应符合GB </w:t>
      </w:r>
      <w:r>
        <w:rPr>
          <w:rFonts w:hint="eastAsia"/>
          <w:lang w:val="en-US" w:eastAsia="zh-CN"/>
        </w:rPr>
        <w:t>4806.7</w:t>
      </w:r>
      <w:r>
        <w:rPr>
          <w:rFonts w:hint="eastAsia"/>
        </w:rPr>
        <w:t>等相应质量和卫生标准的规定。</w:t>
      </w:r>
    </w:p>
    <w:p>
      <w:pPr>
        <w:pStyle w:val="10"/>
        <w:numPr>
          <w:ilvl w:val="1"/>
          <w:numId w:val="1"/>
        </w:numPr>
        <w:spacing w:before="156" w:after="156"/>
        <w:ind w:left="0"/>
        <w:rPr>
          <w:rFonts w:hint="eastAsia"/>
        </w:rPr>
      </w:pPr>
      <w:r>
        <w:rPr>
          <w:rFonts w:hint="eastAsia"/>
        </w:rPr>
        <w:t>运输</w:t>
      </w:r>
    </w:p>
    <w:p>
      <w:pPr>
        <w:pStyle w:val="7"/>
        <w:rPr>
          <w:rFonts w:hint="eastAsia"/>
        </w:rPr>
      </w:pPr>
      <w:r>
        <w:rPr>
          <w:rFonts w:hint="eastAsia"/>
        </w:rPr>
        <w:t>运输工具必须清洁、卫生、防潮、防雨。</w:t>
      </w:r>
    </w:p>
    <w:p>
      <w:pPr>
        <w:pStyle w:val="10"/>
        <w:numPr>
          <w:ilvl w:val="1"/>
          <w:numId w:val="1"/>
        </w:numPr>
        <w:spacing w:before="156" w:after="156"/>
        <w:ind w:left="0"/>
        <w:rPr>
          <w:rFonts w:hint="eastAsia"/>
        </w:rPr>
      </w:pPr>
      <w:r>
        <w:rPr>
          <w:rFonts w:hint="eastAsia"/>
        </w:rPr>
        <w:t>贮存</w:t>
      </w:r>
    </w:p>
    <w:p>
      <w:pPr>
        <w:pStyle w:val="7"/>
        <w:rPr>
          <w:rFonts w:hint="eastAsia"/>
        </w:rPr>
      </w:pPr>
      <w:r>
        <w:rPr>
          <w:rFonts w:hint="eastAsia"/>
        </w:rPr>
        <w:t>常温下贮存于通风、干燥的库房内。</w:t>
      </w:r>
    </w:p>
    <w:p>
      <w:pPr>
        <w:pStyle w:val="7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17"/>
        <w:spacing w:line="360" w:lineRule="auto"/>
        <w:ind w:firstLine="420"/>
        <w:jc w:val="center"/>
        <w:rPr>
          <w:rFonts w:hint="eastAsia" w:ascii="黑体" w:hAnsi="黑体" w:eastAsia="黑体" w:cs="黑体"/>
        </w:rPr>
      </w:pPr>
    </w:p>
    <w:p>
      <w:pPr>
        <w:pStyle w:val="17"/>
        <w:spacing w:line="360" w:lineRule="auto"/>
        <w:ind w:firstLine="420"/>
        <w:jc w:val="center"/>
        <w:rPr>
          <w:rFonts w:hint="eastAsia" w:ascii="黑体" w:hAnsi="黑体" w:eastAsia="黑体" w:cs="黑体"/>
        </w:rPr>
      </w:pPr>
    </w:p>
    <w:p>
      <w:pPr>
        <w:pStyle w:val="17"/>
        <w:spacing w:line="360" w:lineRule="auto"/>
        <w:ind w:firstLine="420"/>
        <w:jc w:val="center"/>
        <w:rPr>
          <w:rFonts w:hint="eastAsia" w:ascii="黑体" w:hAnsi="黑体" w:eastAsia="黑体" w:cs="黑体"/>
        </w:rPr>
      </w:pPr>
    </w:p>
    <w:p>
      <w:pPr>
        <w:pStyle w:val="17"/>
        <w:spacing w:line="360" w:lineRule="auto"/>
        <w:ind w:firstLine="420"/>
        <w:jc w:val="center"/>
        <w:rPr>
          <w:rFonts w:hint="eastAsia" w:ascii="黑体" w:hAnsi="黑体" w:eastAsia="黑体" w:cs="黑体"/>
        </w:rPr>
      </w:pPr>
    </w:p>
    <w:p>
      <w:pPr>
        <w:pStyle w:val="17"/>
        <w:spacing w:line="360" w:lineRule="auto"/>
        <w:ind w:firstLine="420"/>
        <w:jc w:val="center"/>
        <w:rPr>
          <w:rFonts w:hint="eastAsia" w:ascii="黑体" w:hAnsi="黑体" w:eastAsia="黑体" w:cs="黑体"/>
        </w:rPr>
      </w:pPr>
    </w:p>
    <w:p>
      <w:pPr>
        <w:pStyle w:val="17"/>
        <w:spacing w:line="360" w:lineRule="auto"/>
        <w:ind w:firstLine="420"/>
        <w:jc w:val="center"/>
        <w:rPr>
          <w:rFonts w:hint="eastAsia" w:ascii="黑体" w:hAnsi="黑体" w:eastAsia="黑体" w:cs="黑体"/>
        </w:rPr>
      </w:pPr>
    </w:p>
    <w:p>
      <w:pPr>
        <w:pStyle w:val="17"/>
        <w:spacing w:line="360" w:lineRule="auto"/>
        <w:ind w:firstLine="420"/>
        <w:jc w:val="center"/>
        <w:rPr>
          <w:rFonts w:hint="eastAsia" w:ascii="黑体" w:hAnsi="黑体" w:eastAsia="黑体" w:cs="黑体"/>
        </w:rPr>
      </w:pPr>
    </w:p>
    <w:p>
      <w:pPr>
        <w:pStyle w:val="17"/>
        <w:spacing w:line="360" w:lineRule="auto"/>
        <w:ind w:firstLine="420"/>
        <w:jc w:val="center"/>
        <w:rPr>
          <w:rFonts w:hint="eastAsia" w:ascii="黑体" w:hAnsi="黑体" w:eastAsia="黑体" w:cs="黑体"/>
        </w:rPr>
      </w:pPr>
    </w:p>
    <w:p>
      <w:pPr>
        <w:pStyle w:val="17"/>
        <w:spacing w:line="360" w:lineRule="auto"/>
        <w:ind w:firstLine="420"/>
        <w:jc w:val="center"/>
        <w:rPr>
          <w:rFonts w:hint="eastAsia" w:ascii="黑体" w:hAnsi="黑体" w:eastAsia="黑体" w:cs="黑体"/>
        </w:rPr>
      </w:pPr>
    </w:p>
    <w:p>
      <w:pPr>
        <w:pStyle w:val="17"/>
        <w:spacing w:line="360" w:lineRule="auto"/>
        <w:ind w:firstLine="420"/>
        <w:jc w:val="center"/>
        <w:rPr>
          <w:rFonts w:hint="eastAsia" w:ascii="黑体" w:hAnsi="黑体" w:eastAsia="黑体" w:cs="黑体"/>
        </w:rPr>
      </w:pPr>
    </w:p>
    <w:p>
      <w:pPr>
        <w:pStyle w:val="17"/>
        <w:spacing w:line="360" w:lineRule="auto"/>
        <w:ind w:firstLine="420"/>
        <w:jc w:val="center"/>
        <w:rPr>
          <w:rFonts w:hint="eastAsia" w:ascii="黑体" w:hAnsi="黑体" w:eastAsia="黑体" w:cs="黑体"/>
        </w:rPr>
      </w:pPr>
    </w:p>
    <w:p>
      <w:pPr>
        <w:pStyle w:val="17"/>
        <w:spacing w:line="360" w:lineRule="auto"/>
        <w:ind w:firstLine="420"/>
        <w:jc w:val="center"/>
        <w:rPr>
          <w:rFonts w:hint="eastAsia" w:ascii="黑体" w:hAnsi="黑体" w:eastAsia="黑体" w:cs="黑体"/>
        </w:rPr>
      </w:pPr>
    </w:p>
    <w:p>
      <w:pPr>
        <w:pStyle w:val="17"/>
        <w:spacing w:line="360" w:lineRule="auto"/>
        <w:ind w:firstLine="420"/>
        <w:jc w:val="center"/>
        <w:rPr>
          <w:rFonts w:hint="eastAsia" w:ascii="黑体" w:hAnsi="黑体" w:eastAsia="黑体" w:cs="黑体"/>
        </w:rPr>
      </w:pPr>
    </w:p>
    <w:p>
      <w:pPr>
        <w:pStyle w:val="17"/>
        <w:spacing w:line="360" w:lineRule="auto"/>
        <w:ind w:firstLine="420"/>
        <w:jc w:val="center"/>
        <w:rPr>
          <w:rFonts w:hint="eastAsia" w:ascii="黑体" w:hAnsi="黑体" w:eastAsia="黑体" w:cs="黑体"/>
        </w:rPr>
      </w:pPr>
    </w:p>
    <w:p>
      <w:pPr>
        <w:pStyle w:val="17"/>
        <w:spacing w:line="360" w:lineRule="auto"/>
        <w:ind w:firstLine="420"/>
        <w:jc w:val="center"/>
        <w:rPr>
          <w:rFonts w:hint="eastAsia" w:ascii="黑体" w:hAnsi="黑体" w:eastAsia="黑体" w:cs="黑体"/>
        </w:rPr>
      </w:pPr>
    </w:p>
    <w:p>
      <w:pPr>
        <w:pStyle w:val="17"/>
        <w:spacing w:line="360" w:lineRule="auto"/>
        <w:ind w:firstLine="420"/>
        <w:jc w:val="center"/>
        <w:rPr>
          <w:rFonts w:hint="eastAsia" w:ascii="黑体" w:hAnsi="黑体" w:eastAsia="黑体" w:cs="黑体"/>
        </w:rPr>
      </w:pPr>
    </w:p>
    <w:p>
      <w:pPr>
        <w:pStyle w:val="17"/>
        <w:spacing w:line="360" w:lineRule="auto"/>
        <w:ind w:firstLine="420"/>
        <w:jc w:val="center"/>
        <w:outlineLvl w:val="0"/>
        <w:rPr>
          <w:rFonts w:hint="eastAsia" w:ascii="黑体" w:hAnsi="黑体" w:eastAsia="黑体" w:cs="黑体"/>
        </w:rPr>
      </w:pPr>
      <w:bookmarkStart w:id="10" w:name="_Toc25103"/>
      <w:r>
        <w:rPr>
          <w:rFonts w:hint="eastAsia" w:ascii="黑体" w:hAnsi="黑体" w:eastAsia="黑体" w:cs="黑体"/>
        </w:rPr>
        <w:t>附录A</w:t>
      </w:r>
      <w:bookmarkEnd w:id="10"/>
    </w:p>
    <w:p>
      <w:pPr>
        <w:pStyle w:val="17"/>
        <w:spacing w:line="360" w:lineRule="auto"/>
        <w:ind w:firstLine="42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（规范性附录）</w:t>
      </w:r>
    </w:p>
    <w:p>
      <w:pPr>
        <w:pStyle w:val="17"/>
        <w:spacing w:line="360" w:lineRule="auto"/>
        <w:ind w:firstLine="42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桓仁</w:t>
      </w:r>
      <w:r>
        <w:rPr>
          <w:rFonts w:hint="eastAsia" w:ascii="黑体" w:hAnsi="黑体" w:eastAsia="黑体" w:cs="黑体"/>
          <w:lang w:eastAsia="zh-CN"/>
        </w:rPr>
        <w:t>大榛子</w:t>
      </w:r>
      <w:r>
        <w:rPr>
          <w:rFonts w:hint="eastAsia" w:ascii="黑体" w:hAnsi="黑体" w:eastAsia="黑体" w:cs="黑体"/>
        </w:rPr>
        <w:t>地理标志产品保护范围图</w:t>
      </w:r>
    </w:p>
    <w:p>
      <w:pPr>
        <w:pStyle w:val="17"/>
        <w:spacing w:line="240" w:lineRule="auto"/>
        <w:ind w:left="0" w:leftChars="0" w:firstLine="0" w:firstLineChars="0"/>
        <w:jc w:val="both"/>
        <w:rPr>
          <w:rFonts w:hint="eastAsia" w:ascii="黑体" w:hAnsi="黑体" w:eastAsia="黑体" w:cs="黑体"/>
        </w:rPr>
      </w:pPr>
    </w:p>
    <w:p>
      <w:pPr>
        <w:pStyle w:val="17"/>
        <w:spacing w:line="240" w:lineRule="auto"/>
        <w:ind w:firstLine="420"/>
        <w:jc w:val="center"/>
        <w:rPr>
          <w:rFonts w:hint="eastAsia" w:ascii="黑体" w:hAnsi="黑体" w:eastAsia="黑体" w:cs="黑体"/>
        </w:rPr>
      </w:pPr>
    </w:p>
    <w:p>
      <w:pPr>
        <w:pStyle w:val="17"/>
        <w:spacing w:line="240" w:lineRule="auto"/>
        <w:ind w:firstLine="420"/>
        <w:jc w:val="center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drawing>
          <wp:inline distT="0" distB="0" distL="114300" distR="114300">
            <wp:extent cx="5269865" cy="4309110"/>
            <wp:effectExtent l="0" t="0" r="6985" b="15240"/>
            <wp:docPr id="1" name="图片 1" descr="大榛子附录A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榛子附录A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3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7"/>
        <w:spacing w:line="240" w:lineRule="auto"/>
        <w:ind w:firstLine="420"/>
        <w:jc w:val="center"/>
        <w:rPr>
          <w:rFonts w:hint="eastAsia" w:ascii="黑体" w:hAnsi="黑体" w:eastAsia="黑体" w:cs="黑体"/>
        </w:rPr>
      </w:pPr>
    </w:p>
    <w:p>
      <w:pPr>
        <w:pStyle w:val="7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18"/>
        <w:ind w:firstLine="315" w:firstLineChars="150"/>
        <w:jc w:val="center"/>
        <w:rPr>
          <w:rFonts w:hint="eastAsia"/>
          <w:u w:val="thick"/>
        </w:rPr>
      </w:pPr>
      <w:r>
        <w:rPr>
          <w:u w:val="thick"/>
        </w:rPr>
        <w:t>_________________________________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ld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altName w:val="Ubuntu"/>
    <w:panose1 w:val="020B0604030504040204"/>
    <w:charset w:val="00"/>
    <w:family w:val="auto"/>
    <w:pitch w:val="default"/>
    <w:sig w:usb0="00000000" w:usb1="00000000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ind w:firstLine="4730" w:firstLineChars="2150"/>
      <w:jc w:val="center"/>
      <w:rPr>
        <w:rFonts w:hint="eastAsia" w:ascii="宋体" w:hAnsi="宋体" w:eastAsia="宋体" w:cs="宋体"/>
        <w:color w:val="000000"/>
        <w:kern w:val="0"/>
        <w:sz w:val="22"/>
        <w:szCs w:val="22"/>
      </w:rPr>
    </w:pPr>
    <w:r>
      <w:rPr>
        <w:rFonts w:hint="eastAsia" w:ascii="宋体" w:hAnsi="宋体" w:cs="宋体"/>
        <w:color w:val="000000"/>
        <w:kern w:val="0"/>
        <w:sz w:val="22"/>
        <w:szCs w:val="22"/>
        <w:lang w:val="en-US" w:eastAsia="zh-CN"/>
      </w:rPr>
      <w:t xml:space="preserve">                   </w:t>
    </w:r>
    <w:r>
      <w:rPr>
        <w:rFonts w:hint="eastAsia" w:ascii="宋体" w:hAnsi="宋体" w:eastAsia="宋体" w:cs="宋体"/>
        <w:color w:val="000000"/>
        <w:kern w:val="0"/>
        <w:sz w:val="22"/>
        <w:szCs w:val="22"/>
      </w:rPr>
      <w:t xml:space="preserve">DB2105/T </w:t>
    </w:r>
    <w:r>
      <w:rPr>
        <w:rFonts w:hint="eastAsia" w:ascii="宋体" w:hAnsi="宋体" w:cs="宋体"/>
        <w:color w:val="000000"/>
        <w:kern w:val="0"/>
        <w:sz w:val="22"/>
        <w:szCs w:val="22"/>
        <w:lang w:val="en-US" w:eastAsia="zh-CN"/>
      </w:rPr>
      <w:t xml:space="preserve">  </w:t>
    </w:r>
    <w:r>
      <w:rPr>
        <w:rFonts w:hint="eastAsia" w:ascii="宋体" w:hAnsi="宋体" w:eastAsia="宋体" w:cs="宋体"/>
        <w:color w:val="000000"/>
        <w:kern w:val="0"/>
        <w:sz w:val="22"/>
        <w:szCs w:val="22"/>
      </w:rPr>
      <w:t>—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E2CBA"/>
    <w:multiLevelType w:val="multilevel"/>
    <w:tmpl w:val="0F0E2CBA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142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pacing w:val="0"/>
        <w:sz w:val="21"/>
        <w:szCs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ascii="宋体" w:hAnsi="宋体" w:eastAsia="宋体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ascii="宋体" w:hAnsi="宋体" w:eastAsia="宋体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k0NjcyOTA4N2MzYTU3MDA5ODBkZWY4YzJiN2RjZjYifQ=="/>
  </w:docVars>
  <w:rsids>
    <w:rsidRoot w:val="007B2193"/>
    <w:rsid w:val="0000145A"/>
    <w:rsid w:val="000022FA"/>
    <w:rsid w:val="00006D60"/>
    <w:rsid w:val="00013BCC"/>
    <w:rsid w:val="00013C2F"/>
    <w:rsid w:val="0001422C"/>
    <w:rsid w:val="00016386"/>
    <w:rsid w:val="000209AD"/>
    <w:rsid w:val="00021D7C"/>
    <w:rsid w:val="00021E8D"/>
    <w:rsid w:val="000322C3"/>
    <w:rsid w:val="000338AD"/>
    <w:rsid w:val="00033968"/>
    <w:rsid w:val="0003533B"/>
    <w:rsid w:val="00037AC1"/>
    <w:rsid w:val="00040002"/>
    <w:rsid w:val="00040116"/>
    <w:rsid w:val="00042FD1"/>
    <w:rsid w:val="0004424F"/>
    <w:rsid w:val="00050F56"/>
    <w:rsid w:val="00057F82"/>
    <w:rsid w:val="000607D9"/>
    <w:rsid w:val="00060EE8"/>
    <w:rsid w:val="00060F31"/>
    <w:rsid w:val="00065465"/>
    <w:rsid w:val="0006599D"/>
    <w:rsid w:val="00065D42"/>
    <w:rsid w:val="000671CA"/>
    <w:rsid w:val="00067C93"/>
    <w:rsid w:val="000713D5"/>
    <w:rsid w:val="00071580"/>
    <w:rsid w:val="0007542A"/>
    <w:rsid w:val="0007714D"/>
    <w:rsid w:val="00085E97"/>
    <w:rsid w:val="00086106"/>
    <w:rsid w:val="0009348B"/>
    <w:rsid w:val="00093CAD"/>
    <w:rsid w:val="00096CAB"/>
    <w:rsid w:val="00097B99"/>
    <w:rsid w:val="000A2CA2"/>
    <w:rsid w:val="000B20B9"/>
    <w:rsid w:val="000C1C67"/>
    <w:rsid w:val="000C4AF8"/>
    <w:rsid w:val="000C51D0"/>
    <w:rsid w:val="000C6F71"/>
    <w:rsid w:val="000D3B9B"/>
    <w:rsid w:val="000D479A"/>
    <w:rsid w:val="000E06C8"/>
    <w:rsid w:val="000E4F5E"/>
    <w:rsid w:val="000F4B61"/>
    <w:rsid w:val="000F65C5"/>
    <w:rsid w:val="001046FE"/>
    <w:rsid w:val="00104A83"/>
    <w:rsid w:val="001058E3"/>
    <w:rsid w:val="00106580"/>
    <w:rsid w:val="00106680"/>
    <w:rsid w:val="0011617C"/>
    <w:rsid w:val="0011765B"/>
    <w:rsid w:val="00120775"/>
    <w:rsid w:val="00121F71"/>
    <w:rsid w:val="00126C6D"/>
    <w:rsid w:val="00133B17"/>
    <w:rsid w:val="00134C3B"/>
    <w:rsid w:val="00135649"/>
    <w:rsid w:val="00135E75"/>
    <w:rsid w:val="00136260"/>
    <w:rsid w:val="00136697"/>
    <w:rsid w:val="00150471"/>
    <w:rsid w:val="00150B32"/>
    <w:rsid w:val="001656DC"/>
    <w:rsid w:val="001677E6"/>
    <w:rsid w:val="00170446"/>
    <w:rsid w:val="0017190B"/>
    <w:rsid w:val="00176612"/>
    <w:rsid w:val="001773B7"/>
    <w:rsid w:val="0018089C"/>
    <w:rsid w:val="001809BF"/>
    <w:rsid w:val="00180B37"/>
    <w:rsid w:val="00181702"/>
    <w:rsid w:val="00182D21"/>
    <w:rsid w:val="00185380"/>
    <w:rsid w:val="001862F6"/>
    <w:rsid w:val="00187AE5"/>
    <w:rsid w:val="00190697"/>
    <w:rsid w:val="00191EBC"/>
    <w:rsid w:val="001A3E35"/>
    <w:rsid w:val="001B1B37"/>
    <w:rsid w:val="001B6250"/>
    <w:rsid w:val="001C065A"/>
    <w:rsid w:val="001C0713"/>
    <w:rsid w:val="001C1E3B"/>
    <w:rsid w:val="001C24DC"/>
    <w:rsid w:val="001C4312"/>
    <w:rsid w:val="001D1AC4"/>
    <w:rsid w:val="001D274B"/>
    <w:rsid w:val="001D31BF"/>
    <w:rsid w:val="001D64F4"/>
    <w:rsid w:val="001E1333"/>
    <w:rsid w:val="001E1985"/>
    <w:rsid w:val="001F2CBE"/>
    <w:rsid w:val="001F3790"/>
    <w:rsid w:val="001F73D7"/>
    <w:rsid w:val="00202996"/>
    <w:rsid w:val="00203A8B"/>
    <w:rsid w:val="00203F86"/>
    <w:rsid w:val="002053CD"/>
    <w:rsid w:val="00205C46"/>
    <w:rsid w:val="002072CD"/>
    <w:rsid w:val="002076F2"/>
    <w:rsid w:val="00221E85"/>
    <w:rsid w:val="0022367E"/>
    <w:rsid w:val="002236B2"/>
    <w:rsid w:val="002272A7"/>
    <w:rsid w:val="0023239F"/>
    <w:rsid w:val="00233D3C"/>
    <w:rsid w:val="00250939"/>
    <w:rsid w:val="002603E5"/>
    <w:rsid w:val="002618CB"/>
    <w:rsid w:val="00262CF1"/>
    <w:rsid w:val="0026710B"/>
    <w:rsid w:val="002763DD"/>
    <w:rsid w:val="002767E9"/>
    <w:rsid w:val="00277B98"/>
    <w:rsid w:val="002816DF"/>
    <w:rsid w:val="00281967"/>
    <w:rsid w:val="00284DA2"/>
    <w:rsid w:val="002852B8"/>
    <w:rsid w:val="00287AFB"/>
    <w:rsid w:val="00290379"/>
    <w:rsid w:val="002914D7"/>
    <w:rsid w:val="002933D8"/>
    <w:rsid w:val="00293B1F"/>
    <w:rsid w:val="002959A4"/>
    <w:rsid w:val="002A00DD"/>
    <w:rsid w:val="002A1255"/>
    <w:rsid w:val="002A1FA2"/>
    <w:rsid w:val="002A307F"/>
    <w:rsid w:val="002B1509"/>
    <w:rsid w:val="002B5E05"/>
    <w:rsid w:val="002B67EE"/>
    <w:rsid w:val="002C2272"/>
    <w:rsid w:val="002C2C45"/>
    <w:rsid w:val="002D1008"/>
    <w:rsid w:val="002D1D94"/>
    <w:rsid w:val="002E0E6A"/>
    <w:rsid w:val="002E10E6"/>
    <w:rsid w:val="002E16C3"/>
    <w:rsid w:val="002E1F89"/>
    <w:rsid w:val="002E2231"/>
    <w:rsid w:val="002E4700"/>
    <w:rsid w:val="002F1DA4"/>
    <w:rsid w:val="002F711E"/>
    <w:rsid w:val="002F77F5"/>
    <w:rsid w:val="0030642F"/>
    <w:rsid w:val="00306442"/>
    <w:rsid w:val="00306AB4"/>
    <w:rsid w:val="00314E72"/>
    <w:rsid w:val="00325C12"/>
    <w:rsid w:val="0033030E"/>
    <w:rsid w:val="00330768"/>
    <w:rsid w:val="00331BD1"/>
    <w:rsid w:val="00336D74"/>
    <w:rsid w:val="0034041F"/>
    <w:rsid w:val="003438DF"/>
    <w:rsid w:val="00346809"/>
    <w:rsid w:val="00346A50"/>
    <w:rsid w:val="00352AB6"/>
    <w:rsid w:val="00353B4E"/>
    <w:rsid w:val="0035610F"/>
    <w:rsid w:val="00360E84"/>
    <w:rsid w:val="003611EF"/>
    <w:rsid w:val="00365964"/>
    <w:rsid w:val="003660E3"/>
    <w:rsid w:val="00366D70"/>
    <w:rsid w:val="00370324"/>
    <w:rsid w:val="0037238D"/>
    <w:rsid w:val="00373C82"/>
    <w:rsid w:val="003774DD"/>
    <w:rsid w:val="003812B1"/>
    <w:rsid w:val="003820C1"/>
    <w:rsid w:val="00390DEF"/>
    <w:rsid w:val="00392F47"/>
    <w:rsid w:val="003940B6"/>
    <w:rsid w:val="003A0364"/>
    <w:rsid w:val="003B17A4"/>
    <w:rsid w:val="003B2AE8"/>
    <w:rsid w:val="003B4CD7"/>
    <w:rsid w:val="003B5A21"/>
    <w:rsid w:val="003B793F"/>
    <w:rsid w:val="003B7EE0"/>
    <w:rsid w:val="003C0872"/>
    <w:rsid w:val="003C1BA9"/>
    <w:rsid w:val="003C436C"/>
    <w:rsid w:val="003C4E7E"/>
    <w:rsid w:val="003C653E"/>
    <w:rsid w:val="003D1C8B"/>
    <w:rsid w:val="003D4159"/>
    <w:rsid w:val="003E371B"/>
    <w:rsid w:val="003E5B1C"/>
    <w:rsid w:val="003E6B34"/>
    <w:rsid w:val="003E7D94"/>
    <w:rsid w:val="003E7E4D"/>
    <w:rsid w:val="003F07C3"/>
    <w:rsid w:val="003F0DFD"/>
    <w:rsid w:val="003F3C93"/>
    <w:rsid w:val="003F43A6"/>
    <w:rsid w:val="003F5D14"/>
    <w:rsid w:val="00402E35"/>
    <w:rsid w:val="0040408B"/>
    <w:rsid w:val="00404621"/>
    <w:rsid w:val="004068E3"/>
    <w:rsid w:val="00407411"/>
    <w:rsid w:val="004123AF"/>
    <w:rsid w:val="004128CA"/>
    <w:rsid w:val="00412EEF"/>
    <w:rsid w:val="00413509"/>
    <w:rsid w:val="00413591"/>
    <w:rsid w:val="0041569F"/>
    <w:rsid w:val="00425750"/>
    <w:rsid w:val="00425E2A"/>
    <w:rsid w:val="004310F8"/>
    <w:rsid w:val="00434A4D"/>
    <w:rsid w:val="00435A3F"/>
    <w:rsid w:val="00437B54"/>
    <w:rsid w:val="00444878"/>
    <w:rsid w:val="0045314E"/>
    <w:rsid w:val="00457BC2"/>
    <w:rsid w:val="004606A3"/>
    <w:rsid w:val="004634FE"/>
    <w:rsid w:val="0046775F"/>
    <w:rsid w:val="004704CB"/>
    <w:rsid w:val="00474941"/>
    <w:rsid w:val="004A019C"/>
    <w:rsid w:val="004A391C"/>
    <w:rsid w:val="004B1612"/>
    <w:rsid w:val="004B1D03"/>
    <w:rsid w:val="004B3E4C"/>
    <w:rsid w:val="004C0126"/>
    <w:rsid w:val="004C558B"/>
    <w:rsid w:val="004C6372"/>
    <w:rsid w:val="004D17C9"/>
    <w:rsid w:val="004D1B14"/>
    <w:rsid w:val="004D66A6"/>
    <w:rsid w:val="004D6E58"/>
    <w:rsid w:val="004F5BC1"/>
    <w:rsid w:val="004F6988"/>
    <w:rsid w:val="00506BCD"/>
    <w:rsid w:val="00507947"/>
    <w:rsid w:val="00512C68"/>
    <w:rsid w:val="00513928"/>
    <w:rsid w:val="00513F1D"/>
    <w:rsid w:val="00515AA3"/>
    <w:rsid w:val="00520D5B"/>
    <w:rsid w:val="00521A81"/>
    <w:rsid w:val="00525EEE"/>
    <w:rsid w:val="00526390"/>
    <w:rsid w:val="0052751E"/>
    <w:rsid w:val="005277BE"/>
    <w:rsid w:val="0053092D"/>
    <w:rsid w:val="00537EF1"/>
    <w:rsid w:val="00546265"/>
    <w:rsid w:val="00552978"/>
    <w:rsid w:val="00552DAB"/>
    <w:rsid w:val="00561838"/>
    <w:rsid w:val="005625EE"/>
    <w:rsid w:val="00562A2E"/>
    <w:rsid w:val="005641E0"/>
    <w:rsid w:val="00565258"/>
    <w:rsid w:val="0056547F"/>
    <w:rsid w:val="00570364"/>
    <w:rsid w:val="005809E8"/>
    <w:rsid w:val="00580BC5"/>
    <w:rsid w:val="005837A0"/>
    <w:rsid w:val="0058470D"/>
    <w:rsid w:val="005910A7"/>
    <w:rsid w:val="00595A02"/>
    <w:rsid w:val="005971AB"/>
    <w:rsid w:val="005A6E52"/>
    <w:rsid w:val="005C052A"/>
    <w:rsid w:val="005C0875"/>
    <w:rsid w:val="005C1921"/>
    <w:rsid w:val="005C5010"/>
    <w:rsid w:val="005C5461"/>
    <w:rsid w:val="005D02A4"/>
    <w:rsid w:val="005D2444"/>
    <w:rsid w:val="005D26FA"/>
    <w:rsid w:val="005D277D"/>
    <w:rsid w:val="005D3071"/>
    <w:rsid w:val="005D7762"/>
    <w:rsid w:val="005D7D33"/>
    <w:rsid w:val="005E0696"/>
    <w:rsid w:val="005E3208"/>
    <w:rsid w:val="005E321D"/>
    <w:rsid w:val="005E7427"/>
    <w:rsid w:val="005E755E"/>
    <w:rsid w:val="005F1C69"/>
    <w:rsid w:val="005F2980"/>
    <w:rsid w:val="005F4704"/>
    <w:rsid w:val="005F7109"/>
    <w:rsid w:val="005F7C83"/>
    <w:rsid w:val="006032B2"/>
    <w:rsid w:val="0060355E"/>
    <w:rsid w:val="00603735"/>
    <w:rsid w:val="00603FD3"/>
    <w:rsid w:val="00607A4E"/>
    <w:rsid w:val="006103FC"/>
    <w:rsid w:val="00610A84"/>
    <w:rsid w:val="00613787"/>
    <w:rsid w:val="006146ED"/>
    <w:rsid w:val="00623F38"/>
    <w:rsid w:val="00624DD4"/>
    <w:rsid w:val="0062731A"/>
    <w:rsid w:val="00631D6D"/>
    <w:rsid w:val="00636DC6"/>
    <w:rsid w:val="0064009E"/>
    <w:rsid w:val="0064354B"/>
    <w:rsid w:val="00644769"/>
    <w:rsid w:val="00644F33"/>
    <w:rsid w:val="0064544E"/>
    <w:rsid w:val="0065062A"/>
    <w:rsid w:val="00655900"/>
    <w:rsid w:val="006562F8"/>
    <w:rsid w:val="00665580"/>
    <w:rsid w:val="00666B85"/>
    <w:rsid w:val="0066733E"/>
    <w:rsid w:val="006679B6"/>
    <w:rsid w:val="0067140B"/>
    <w:rsid w:val="00672793"/>
    <w:rsid w:val="006749C6"/>
    <w:rsid w:val="00675B64"/>
    <w:rsid w:val="00680F91"/>
    <w:rsid w:val="00681D53"/>
    <w:rsid w:val="00683C79"/>
    <w:rsid w:val="006904F9"/>
    <w:rsid w:val="00693E9C"/>
    <w:rsid w:val="006A037C"/>
    <w:rsid w:val="006A04AB"/>
    <w:rsid w:val="006A053D"/>
    <w:rsid w:val="006A0E18"/>
    <w:rsid w:val="006A5191"/>
    <w:rsid w:val="006B27B8"/>
    <w:rsid w:val="006B3915"/>
    <w:rsid w:val="006B3EF9"/>
    <w:rsid w:val="006B4EAE"/>
    <w:rsid w:val="006C27DD"/>
    <w:rsid w:val="006C4525"/>
    <w:rsid w:val="006C77A8"/>
    <w:rsid w:val="006D0C34"/>
    <w:rsid w:val="006D11CA"/>
    <w:rsid w:val="006D5A2A"/>
    <w:rsid w:val="006D6FAA"/>
    <w:rsid w:val="006E07E0"/>
    <w:rsid w:val="006E25A9"/>
    <w:rsid w:val="006E31DC"/>
    <w:rsid w:val="006E33D4"/>
    <w:rsid w:val="006E5B83"/>
    <w:rsid w:val="006E7174"/>
    <w:rsid w:val="006E7251"/>
    <w:rsid w:val="006F0401"/>
    <w:rsid w:val="006F4EE8"/>
    <w:rsid w:val="006F566F"/>
    <w:rsid w:val="006F59E9"/>
    <w:rsid w:val="006F608F"/>
    <w:rsid w:val="006F652E"/>
    <w:rsid w:val="007007F3"/>
    <w:rsid w:val="0070251D"/>
    <w:rsid w:val="007028D7"/>
    <w:rsid w:val="00702DEA"/>
    <w:rsid w:val="0070540C"/>
    <w:rsid w:val="0070625E"/>
    <w:rsid w:val="007135EE"/>
    <w:rsid w:val="00714D10"/>
    <w:rsid w:val="00714E12"/>
    <w:rsid w:val="00720856"/>
    <w:rsid w:val="00720BF1"/>
    <w:rsid w:val="00727F96"/>
    <w:rsid w:val="0073073D"/>
    <w:rsid w:val="007324BD"/>
    <w:rsid w:val="0073284E"/>
    <w:rsid w:val="00734A54"/>
    <w:rsid w:val="00734CC4"/>
    <w:rsid w:val="00740210"/>
    <w:rsid w:val="00740C6D"/>
    <w:rsid w:val="0074389E"/>
    <w:rsid w:val="0074477D"/>
    <w:rsid w:val="0075150B"/>
    <w:rsid w:val="007534BD"/>
    <w:rsid w:val="00754756"/>
    <w:rsid w:val="007553F0"/>
    <w:rsid w:val="007617AA"/>
    <w:rsid w:val="00761894"/>
    <w:rsid w:val="007628E1"/>
    <w:rsid w:val="00765610"/>
    <w:rsid w:val="00767697"/>
    <w:rsid w:val="007704E8"/>
    <w:rsid w:val="00770B7F"/>
    <w:rsid w:val="00772A32"/>
    <w:rsid w:val="007736B4"/>
    <w:rsid w:val="00775F8D"/>
    <w:rsid w:val="007802FE"/>
    <w:rsid w:val="00783A80"/>
    <w:rsid w:val="00790EDF"/>
    <w:rsid w:val="00791504"/>
    <w:rsid w:val="00796988"/>
    <w:rsid w:val="007A3796"/>
    <w:rsid w:val="007A392F"/>
    <w:rsid w:val="007A5B84"/>
    <w:rsid w:val="007B075C"/>
    <w:rsid w:val="007B2193"/>
    <w:rsid w:val="007B7BDB"/>
    <w:rsid w:val="007C2D9E"/>
    <w:rsid w:val="007C741E"/>
    <w:rsid w:val="007D3F3D"/>
    <w:rsid w:val="007D4221"/>
    <w:rsid w:val="007D555A"/>
    <w:rsid w:val="007D625E"/>
    <w:rsid w:val="007E11C2"/>
    <w:rsid w:val="007E4217"/>
    <w:rsid w:val="007E5A3B"/>
    <w:rsid w:val="007E7246"/>
    <w:rsid w:val="007F3469"/>
    <w:rsid w:val="007F411C"/>
    <w:rsid w:val="007F45F8"/>
    <w:rsid w:val="007F7580"/>
    <w:rsid w:val="007F77C0"/>
    <w:rsid w:val="007F7EE5"/>
    <w:rsid w:val="0080000F"/>
    <w:rsid w:val="008016D5"/>
    <w:rsid w:val="00825672"/>
    <w:rsid w:val="00827A6A"/>
    <w:rsid w:val="00832A26"/>
    <w:rsid w:val="00832C80"/>
    <w:rsid w:val="008348C1"/>
    <w:rsid w:val="008349E7"/>
    <w:rsid w:val="008406E1"/>
    <w:rsid w:val="00840DFA"/>
    <w:rsid w:val="0084205C"/>
    <w:rsid w:val="00842544"/>
    <w:rsid w:val="008433C8"/>
    <w:rsid w:val="00843DC1"/>
    <w:rsid w:val="008448FD"/>
    <w:rsid w:val="00846FF1"/>
    <w:rsid w:val="00860126"/>
    <w:rsid w:val="00865075"/>
    <w:rsid w:val="00870E4C"/>
    <w:rsid w:val="00875AEB"/>
    <w:rsid w:val="00876ABA"/>
    <w:rsid w:val="008808D8"/>
    <w:rsid w:val="0088286C"/>
    <w:rsid w:val="00882F9D"/>
    <w:rsid w:val="00882FD5"/>
    <w:rsid w:val="008853A5"/>
    <w:rsid w:val="00886ABE"/>
    <w:rsid w:val="008916EE"/>
    <w:rsid w:val="00893FDD"/>
    <w:rsid w:val="00894249"/>
    <w:rsid w:val="00895D1C"/>
    <w:rsid w:val="008972D3"/>
    <w:rsid w:val="008A76A7"/>
    <w:rsid w:val="008A7989"/>
    <w:rsid w:val="008B183A"/>
    <w:rsid w:val="008C1432"/>
    <w:rsid w:val="008C5B95"/>
    <w:rsid w:val="008C783D"/>
    <w:rsid w:val="008D4FB0"/>
    <w:rsid w:val="008D7E4A"/>
    <w:rsid w:val="008E0D4B"/>
    <w:rsid w:val="008E0E04"/>
    <w:rsid w:val="008E5283"/>
    <w:rsid w:val="008E745B"/>
    <w:rsid w:val="008F3629"/>
    <w:rsid w:val="008F5708"/>
    <w:rsid w:val="0090149F"/>
    <w:rsid w:val="00902726"/>
    <w:rsid w:val="0090357B"/>
    <w:rsid w:val="00907964"/>
    <w:rsid w:val="0091089B"/>
    <w:rsid w:val="00910971"/>
    <w:rsid w:val="00911B12"/>
    <w:rsid w:val="00911C65"/>
    <w:rsid w:val="00916962"/>
    <w:rsid w:val="00917723"/>
    <w:rsid w:val="00922490"/>
    <w:rsid w:val="00924EBD"/>
    <w:rsid w:val="00931437"/>
    <w:rsid w:val="00933CF1"/>
    <w:rsid w:val="00934FE8"/>
    <w:rsid w:val="009400F5"/>
    <w:rsid w:val="00940616"/>
    <w:rsid w:val="009413A2"/>
    <w:rsid w:val="0094364C"/>
    <w:rsid w:val="009438EC"/>
    <w:rsid w:val="009510BA"/>
    <w:rsid w:val="009544F4"/>
    <w:rsid w:val="00962040"/>
    <w:rsid w:val="00967358"/>
    <w:rsid w:val="00972602"/>
    <w:rsid w:val="00972B1F"/>
    <w:rsid w:val="00980C2F"/>
    <w:rsid w:val="009814D2"/>
    <w:rsid w:val="00982241"/>
    <w:rsid w:val="00983C60"/>
    <w:rsid w:val="00985299"/>
    <w:rsid w:val="00990549"/>
    <w:rsid w:val="00993750"/>
    <w:rsid w:val="009965A1"/>
    <w:rsid w:val="009A08F3"/>
    <w:rsid w:val="009A2678"/>
    <w:rsid w:val="009A656C"/>
    <w:rsid w:val="009A7BEB"/>
    <w:rsid w:val="009B4AC5"/>
    <w:rsid w:val="009B649F"/>
    <w:rsid w:val="009C113E"/>
    <w:rsid w:val="009C14D6"/>
    <w:rsid w:val="009C36DC"/>
    <w:rsid w:val="009C63EF"/>
    <w:rsid w:val="009D41B8"/>
    <w:rsid w:val="009D422F"/>
    <w:rsid w:val="009D56CB"/>
    <w:rsid w:val="009D62AE"/>
    <w:rsid w:val="009D6468"/>
    <w:rsid w:val="009D6D11"/>
    <w:rsid w:val="009E1C9D"/>
    <w:rsid w:val="009E3D5F"/>
    <w:rsid w:val="009E5801"/>
    <w:rsid w:val="009E614F"/>
    <w:rsid w:val="009F43FF"/>
    <w:rsid w:val="009F61CB"/>
    <w:rsid w:val="009F7BBF"/>
    <w:rsid w:val="00A00B5A"/>
    <w:rsid w:val="00A01106"/>
    <w:rsid w:val="00A018B7"/>
    <w:rsid w:val="00A10C50"/>
    <w:rsid w:val="00A21C7A"/>
    <w:rsid w:val="00A23CD2"/>
    <w:rsid w:val="00A36873"/>
    <w:rsid w:val="00A4026E"/>
    <w:rsid w:val="00A45167"/>
    <w:rsid w:val="00A47E85"/>
    <w:rsid w:val="00A60CFA"/>
    <w:rsid w:val="00A62F8C"/>
    <w:rsid w:val="00A6356B"/>
    <w:rsid w:val="00A664F0"/>
    <w:rsid w:val="00A67010"/>
    <w:rsid w:val="00A714D5"/>
    <w:rsid w:val="00A715EF"/>
    <w:rsid w:val="00A734FF"/>
    <w:rsid w:val="00A7633C"/>
    <w:rsid w:val="00A7784D"/>
    <w:rsid w:val="00A85A6C"/>
    <w:rsid w:val="00A87CF4"/>
    <w:rsid w:val="00A9097B"/>
    <w:rsid w:val="00A93054"/>
    <w:rsid w:val="00A94627"/>
    <w:rsid w:val="00A973BF"/>
    <w:rsid w:val="00AA06C9"/>
    <w:rsid w:val="00AA09F4"/>
    <w:rsid w:val="00AA40F7"/>
    <w:rsid w:val="00AA4A6F"/>
    <w:rsid w:val="00AB59E5"/>
    <w:rsid w:val="00AC2DBB"/>
    <w:rsid w:val="00AD0C1A"/>
    <w:rsid w:val="00AD6115"/>
    <w:rsid w:val="00AE227B"/>
    <w:rsid w:val="00AE31F2"/>
    <w:rsid w:val="00AF49E4"/>
    <w:rsid w:val="00AF5FA6"/>
    <w:rsid w:val="00AF6B3A"/>
    <w:rsid w:val="00AF7C5E"/>
    <w:rsid w:val="00AF7DDF"/>
    <w:rsid w:val="00B0260C"/>
    <w:rsid w:val="00B12851"/>
    <w:rsid w:val="00B13389"/>
    <w:rsid w:val="00B1635F"/>
    <w:rsid w:val="00B17B21"/>
    <w:rsid w:val="00B2129D"/>
    <w:rsid w:val="00B21CF7"/>
    <w:rsid w:val="00B246B3"/>
    <w:rsid w:val="00B301EA"/>
    <w:rsid w:val="00B340A0"/>
    <w:rsid w:val="00B35E30"/>
    <w:rsid w:val="00B3727B"/>
    <w:rsid w:val="00B41285"/>
    <w:rsid w:val="00B436E0"/>
    <w:rsid w:val="00B44BB5"/>
    <w:rsid w:val="00B4677F"/>
    <w:rsid w:val="00B46AF4"/>
    <w:rsid w:val="00B516FF"/>
    <w:rsid w:val="00B52086"/>
    <w:rsid w:val="00B536D4"/>
    <w:rsid w:val="00B53B7E"/>
    <w:rsid w:val="00B6649C"/>
    <w:rsid w:val="00B70783"/>
    <w:rsid w:val="00B75D97"/>
    <w:rsid w:val="00B76155"/>
    <w:rsid w:val="00B7654C"/>
    <w:rsid w:val="00B8340B"/>
    <w:rsid w:val="00B90717"/>
    <w:rsid w:val="00B913EC"/>
    <w:rsid w:val="00B92CC2"/>
    <w:rsid w:val="00B92CFD"/>
    <w:rsid w:val="00B940E1"/>
    <w:rsid w:val="00BA48A8"/>
    <w:rsid w:val="00BB01B9"/>
    <w:rsid w:val="00BB093E"/>
    <w:rsid w:val="00BB0F59"/>
    <w:rsid w:val="00BB2A9C"/>
    <w:rsid w:val="00BB4BCC"/>
    <w:rsid w:val="00BB5EFC"/>
    <w:rsid w:val="00BB7760"/>
    <w:rsid w:val="00BC0083"/>
    <w:rsid w:val="00BC204D"/>
    <w:rsid w:val="00BC3B23"/>
    <w:rsid w:val="00BC3EF7"/>
    <w:rsid w:val="00BC4B54"/>
    <w:rsid w:val="00BD1DBE"/>
    <w:rsid w:val="00BD2387"/>
    <w:rsid w:val="00BD25FB"/>
    <w:rsid w:val="00BE2607"/>
    <w:rsid w:val="00BE2844"/>
    <w:rsid w:val="00BE30DD"/>
    <w:rsid w:val="00BE6BAD"/>
    <w:rsid w:val="00BF142A"/>
    <w:rsid w:val="00BF2953"/>
    <w:rsid w:val="00BF2C58"/>
    <w:rsid w:val="00BF314E"/>
    <w:rsid w:val="00BF4D19"/>
    <w:rsid w:val="00BF5203"/>
    <w:rsid w:val="00BF6923"/>
    <w:rsid w:val="00BF72F8"/>
    <w:rsid w:val="00BF7851"/>
    <w:rsid w:val="00C010C0"/>
    <w:rsid w:val="00C01A14"/>
    <w:rsid w:val="00C05E3C"/>
    <w:rsid w:val="00C06A92"/>
    <w:rsid w:val="00C07199"/>
    <w:rsid w:val="00C10CD8"/>
    <w:rsid w:val="00C11348"/>
    <w:rsid w:val="00C116FD"/>
    <w:rsid w:val="00C151B4"/>
    <w:rsid w:val="00C16EAC"/>
    <w:rsid w:val="00C17690"/>
    <w:rsid w:val="00C2417D"/>
    <w:rsid w:val="00C24D97"/>
    <w:rsid w:val="00C27126"/>
    <w:rsid w:val="00C27E2E"/>
    <w:rsid w:val="00C33941"/>
    <w:rsid w:val="00C34982"/>
    <w:rsid w:val="00C36225"/>
    <w:rsid w:val="00C43F75"/>
    <w:rsid w:val="00C47BD3"/>
    <w:rsid w:val="00C50027"/>
    <w:rsid w:val="00C55DDE"/>
    <w:rsid w:val="00C62295"/>
    <w:rsid w:val="00C623FB"/>
    <w:rsid w:val="00C64B92"/>
    <w:rsid w:val="00C64E80"/>
    <w:rsid w:val="00C675BF"/>
    <w:rsid w:val="00C8039B"/>
    <w:rsid w:val="00C807DF"/>
    <w:rsid w:val="00C849C0"/>
    <w:rsid w:val="00C85DA3"/>
    <w:rsid w:val="00C865EF"/>
    <w:rsid w:val="00C87AF0"/>
    <w:rsid w:val="00C912FE"/>
    <w:rsid w:val="00C92AA5"/>
    <w:rsid w:val="00C93ACC"/>
    <w:rsid w:val="00C95683"/>
    <w:rsid w:val="00C96A83"/>
    <w:rsid w:val="00CA02DC"/>
    <w:rsid w:val="00CA550D"/>
    <w:rsid w:val="00CB1418"/>
    <w:rsid w:val="00CB179C"/>
    <w:rsid w:val="00CB56C0"/>
    <w:rsid w:val="00CB6F81"/>
    <w:rsid w:val="00CC4B0D"/>
    <w:rsid w:val="00CC5388"/>
    <w:rsid w:val="00CD2991"/>
    <w:rsid w:val="00CD4155"/>
    <w:rsid w:val="00CD5B4C"/>
    <w:rsid w:val="00CE27E4"/>
    <w:rsid w:val="00CE3E8D"/>
    <w:rsid w:val="00CE5940"/>
    <w:rsid w:val="00CE5EBF"/>
    <w:rsid w:val="00CF051E"/>
    <w:rsid w:val="00CF5565"/>
    <w:rsid w:val="00CF7D5D"/>
    <w:rsid w:val="00D03B1A"/>
    <w:rsid w:val="00D0443B"/>
    <w:rsid w:val="00D05656"/>
    <w:rsid w:val="00D07879"/>
    <w:rsid w:val="00D12311"/>
    <w:rsid w:val="00D12C66"/>
    <w:rsid w:val="00D13444"/>
    <w:rsid w:val="00D143D3"/>
    <w:rsid w:val="00D2563C"/>
    <w:rsid w:val="00D2586D"/>
    <w:rsid w:val="00D25BEE"/>
    <w:rsid w:val="00D27AB0"/>
    <w:rsid w:val="00D301D2"/>
    <w:rsid w:val="00D33449"/>
    <w:rsid w:val="00D34692"/>
    <w:rsid w:val="00D405AD"/>
    <w:rsid w:val="00D4404D"/>
    <w:rsid w:val="00D4743D"/>
    <w:rsid w:val="00D51F6F"/>
    <w:rsid w:val="00D52658"/>
    <w:rsid w:val="00D52ADC"/>
    <w:rsid w:val="00D60973"/>
    <w:rsid w:val="00D61D9C"/>
    <w:rsid w:val="00D63C15"/>
    <w:rsid w:val="00D72186"/>
    <w:rsid w:val="00D74C31"/>
    <w:rsid w:val="00D80375"/>
    <w:rsid w:val="00D8073B"/>
    <w:rsid w:val="00D8214A"/>
    <w:rsid w:val="00D901BE"/>
    <w:rsid w:val="00D911DD"/>
    <w:rsid w:val="00DA08BE"/>
    <w:rsid w:val="00DA1A87"/>
    <w:rsid w:val="00DA614B"/>
    <w:rsid w:val="00DB5C4B"/>
    <w:rsid w:val="00DC230F"/>
    <w:rsid w:val="00DC2DC2"/>
    <w:rsid w:val="00DC409D"/>
    <w:rsid w:val="00DC6A4C"/>
    <w:rsid w:val="00DC71CA"/>
    <w:rsid w:val="00DD48EB"/>
    <w:rsid w:val="00DD63AC"/>
    <w:rsid w:val="00DE168C"/>
    <w:rsid w:val="00DE2DBD"/>
    <w:rsid w:val="00DE3390"/>
    <w:rsid w:val="00DF1ECA"/>
    <w:rsid w:val="00DF5128"/>
    <w:rsid w:val="00E03F0B"/>
    <w:rsid w:val="00E16EDD"/>
    <w:rsid w:val="00E17602"/>
    <w:rsid w:val="00E17AE6"/>
    <w:rsid w:val="00E211FD"/>
    <w:rsid w:val="00E22F5C"/>
    <w:rsid w:val="00E26591"/>
    <w:rsid w:val="00E36947"/>
    <w:rsid w:val="00E37D19"/>
    <w:rsid w:val="00E40F5A"/>
    <w:rsid w:val="00E45595"/>
    <w:rsid w:val="00E45B77"/>
    <w:rsid w:val="00E46553"/>
    <w:rsid w:val="00E5272C"/>
    <w:rsid w:val="00E5287D"/>
    <w:rsid w:val="00E55F1E"/>
    <w:rsid w:val="00E625B6"/>
    <w:rsid w:val="00E625C7"/>
    <w:rsid w:val="00E66840"/>
    <w:rsid w:val="00E66926"/>
    <w:rsid w:val="00E67B5E"/>
    <w:rsid w:val="00E70A37"/>
    <w:rsid w:val="00E72AFC"/>
    <w:rsid w:val="00E74F8E"/>
    <w:rsid w:val="00E7542D"/>
    <w:rsid w:val="00E80F9C"/>
    <w:rsid w:val="00E823E4"/>
    <w:rsid w:val="00E863E8"/>
    <w:rsid w:val="00E877B0"/>
    <w:rsid w:val="00E9027B"/>
    <w:rsid w:val="00E90968"/>
    <w:rsid w:val="00E92045"/>
    <w:rsid w:val="00E926C6"/>
    <w:rsid w:val="00E957A8"/>
    <w:rsid w:val="00EA072A"/>
    <w:rsid w:val="00EA23F6"/>
    <w:rsid w:val="00EA3F07"/>
    <w:rsid w:val="00EA4304"/>
    <w:rsid w:val="00EA4A16"/>
    <w:rsid w:val="00EB0413"/>
    <w:rsid w:val="00EB3A67"/>
    <w:rsid w:val="00EB4E1A"/>
    <w:rsid w:val="00EB6624"/>
    <w:rsid w:val="00EB7459"/>
    <w:rsid w:val="00EC077F"/>
    <w:rsid w:val="00EC573B"/>
    <w:rsid w:val="00EC6CFC"/>
    <w:rsid w:val="00EC7F58"/>
    <w:rsid w:val="00EF2D3F"/>
    <w:rsid w:val="00F01EB9"/>
    <w:rsid w:val="00F04E98"/>
    <w:rsid w:val="00F06B2F"/>
    <w:rsid w:val="00F112C3"/>
    <w:rsid w:val="00F135B7"/>
    <w:rsid w:val="00F20153"/>
    <w:rsid w:val="00F20731"/>
    <w:rsid w:val="00F22DF5"/>
    <w:rsid w:val="00F23185"/>
    <w:rsid w:val="00F27795"/>
    <w:rsid w:val="00F43962"/>
    <w:rsid w:val="00F478A5"/>
    <w:rsid w:val="00F52090"/>
    <w:rsid w:val="00F543C5"/>
    <w:rsid w:val="00F55983"/>
    <w:rsid w:val="00F55BB6"/>
    <w:rsid w:val="00F566D4"/>
    <w:rsid w:val="00F61CCD"/>
    <w:rsid w:val="00F65087"/>
    <w:rsid w:val="00F71F6B"/>
    <w:rsid w:val="00F74A59"/>
    <w:rsid w:val="00F74F38"/>
    <w:rsid w:val="00F77B62"/>
    <w:rsid w:val="00F86426"/>
    <w:rsid w:val="00F91683"/>
    <w:rsid w:val="00F91FAC"/>
    <w:rsid w:val="00F93454"/>
    <w:rsid w:val="00F9678B"/>
    <w:rsid w:val="00FA17D0"/>
    <w:rsid w:val="00FA378C"/>
    <w:rsid w:val="00FA3908"/>
    <w:rsid w:val="00FA666F"/>
    <w:rsid w:val="00FB07B9"/>
    <w:rsid w:val="00FB28F3"/>
    <w:rsid w:val="00FB3A2C"/>
    <w:rsid w:val="00FC09A2"/>
    <w:rsid w:val="00FC4FC5"/>
    <w:rsid w:val="00FC5F10"/>
    <w:rsid w:val="00FC6271"/>
    <w:rsid w:val="00FC6C56"/>
    <w:rsid w:val="00FC6FB2"/>
    <w:rsid w:val="00FD0E13"/>
    <w:rsid w:val="00FD1D8E"/>
    <w:rsid w:val="00FD5992"/>
    <w:rsid w:val="00FE35C3"/>
    <w:rsid w:val="00FF1F45"/>
    <w:rsid w:val="00FF40E7"/>
    <w:rsid w:val="00FF4789"/>
    <w:rsid w:val="00FF4E5F"/>
    <w:rsid w:val="019D47B9"/>
    <w:rsid w:val="036D639A"/>
    <w:rsid w:val="096A0B77"/>
    <w:rsid w:val="0BD14682"/>
    <w:rsid w:val="142010E3"/>
    <w:rsid w:val="15A516A0"/>
    <w:rsid w:val="19EF08BD"/>
    <w:rsid w:val="1A33093E"/>
    <w:rsid w:val="26061C5B"/>
    <w:rsid w:val="274B11BC"/>
    <w:rsid w:val="30BB2ADA"/>
    <w:rsid w:val="31431E96"/>
    <w:rsid w:val="330C763F"/>
    <w:rsid w:val="35374087"/>
    <w:rsid w:val="3A122320"/>
    <w:rsid w:val="3A4420F1"/>
    <w:rsid w:val="3AADDCC3"/>
    <w:rsid w:val="3B8832B4"/>
    <w:rsid w:val="3D211F38"/>
    <w:rsid w:val="3DDF8E2A"/>
    <w:rsid w:val="3DE94633"/>
    <w:rsid w:val="3F601DC0"/>
    <w:rsid w:val="454B2456"/>
    <w:rsid w:val="46122AF9"/>
    <w:rsid w:val="4C861165"/>
    <w:rsid w:val="51854B3D"/>
    <w:rsid w:val="63895F47"/>
    <w:rsid w:val="6D3C0403"/>
    <w:rsid w:val="6EB263B5"/>
    <w:rsid w:val="7BCD4E47"/>
    <w:rsid w:val="BFBDA4A0"/>
    <w:rsid w:val="D7DB230C"/>
    <w:rsid w:val="F377F2B9"/>
    <w:rsid w:val="FDBC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rPr>
      <w:rFonts w:ascii="宋体" w:hAnsi="Calibri" w:eastAsia="宋体" w:cs="Calibri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段"/>
    <w:basedOn w:val="1"/>
    <w:qFormat/>
    <w:uiPriority w:val="0"/>
    <w:pPr>
      <w:widowControl/>
      <w:autoSpaceDE w:val="0"/>
      <w:autoSpaceDN w:val="0"/>
      <w:ind w:firstLine="420" w:firstLineChars="200"/>
    </w:pPr>
    <w:rPr>
      <w:rFonts w:ascii="宋体" w:hAnsi="宋体" w:cs="宋体"/>
      <w:kern w:val="0"/>
    </w:rPr>
  </w:style>
  <w:style w:type="paragraph" w:customStyle="1" w:styleId="8">
    <w:name w:val="前言、引言标题"/>
    <w:basedOn w:val="1"/>
    <w:next w:val="7"/>
    <w:qFormat/>
    <w:uiPriority w:val="0"/>
    <w:pPr>
      <w:keepNext/>
      <w:pageBreakBefore/>
      <w:widowControl/>
      <w:shd w:val="clear" w:color="auto" w:fill="FFFFFF"/>
      <w:spacing w:before="640" w:after="560"/>
      <w:jc w:val="center"/>
      <w:outlineLvl w:val="0"/>
    </w:pPr>
    <w:rPr>
      <w:rFonts w:ascii="黑体" w:hAnsi="黑体" w:eastAsia="黑体" w:cs="宋体"/>
      <w:kern w:val="0"/>
      <w:sz w:val="32"/>
      <w:szCs w:val="32"/>
    </w:rPr>
  </w:style>
  <w:style w:type="paragraph" w:customStyle="1" w:styleId="9">
    <w:name w:val="章标题"/>
    <w:basedOn w:val="1"/>
    <w:next w:val="7"/>
    <w:qFormat/>
    <w:uiPriority w:val="0"/>
    <w:pPr>
      <w:widowControl/>
      <w:spacing w:beforeLines="100" w:afterLines="100"/>
      <w:outlineLvl w:val="1"/>
    </w:pPr>
    <w:rPr>
      <w:rFonts w:ascii="黑体" w:hAnsi="黑体" w:eastAsia="黑体" w:cs="宋体"/>
      <w:kern w:val="0"/>
    </w:rPr>
  </w:style>
  <w:style w:type="paragraph" w:customStyle="1" w:styleId="10">
    <w:name w:val="一级条标题"/>
    <w:basedOn w:val="1"/>
    <w:next w:val="7"/>
    <w:qFormat/>
    <w:uiPriority w:val="0"/>
    <w:pPr>
      <w:widowControl/>
      <w:spacing w:beforeLines="50" w:afterLines="50"/>
      <w:jc w:val="left"/>
      <w:outlineLvl w:val="2"/>
    </w:pPr>
    <w:rPr>
      <w:rFonts w:ascii="黑体" w:hAnsi="黑体" w:eastAsia="黑体" w:cs="宋体"/>
      <w:kern w:val="0"/>
    </w:rPr>
  </w:style>
  <w:style w:type="paragraph" w:customStyle="1" w:styleId="11">
    <w:name w:val="二级条标题"/>
    <w:basedOn w:val="10"/>
    <w:next w:val="7"/>
    <w:qFormat/>
    <w:uiPriority w:val="0"/>
    <w:pPr>
      <w:outlineLvl w:val="3"/>
    </w:pPr>
  </w:style>
  <w:style w:type="paragraph" w:customStyle="1" w:styleId="12">
    <w:name w:val="三级条标题"/>
    <w:basedOn w:val="11"/>
    <w:next w:val="7"/>
    <w:qFormat/>
    <w:uiPriority w:val="0"/>
    <w:pPr>
      <w:outlineLvl w:val="4"/>
    </w:pPr>
  </w:style>
  <w:style w:type="paragraph" w:customStyle="1" w:styleId="13">
    <w:name w:val="四级条标题"/>
    <w:basedOn w:val="12"/>
    <w:next w:val="7"/>
    <w:qFormat/>
    <w:uiPriority w:val="0"/>
    <w:pPr>
      <w:outlineLvl w:val="5"/>
    </w:pPr>
  </w:style>
  <w:style w:type="paragraph" w:customStyle="1" w:styleId="14">
    <w:name w:val="目次、标准名称标题"/>
    <w:basedOn w:val="1"/>
    <w:next w:val="7"/>
    <w:qFormat/>
    <w:uiPriority w:val="0"/>
    <w:pPr>
      <w:keepNext/>
      <w:pageBreakBefore/>
      <w:widowControl/>
      <w:shd w:val="clear" w:color="auto" w:fill="FFFFFF"/>
      <w:spacing w:before="640" w:after="560" w:line="460" w:lineRule="exact"/>
      <w:jc w:val="center"/>
      <w:outlineLvl w:val="0"/>
    </w:pPr>
    <w:rPr>
      <w:rFonts w:ascii="黑体" w:hAnsi="黑体" w:eastAsia="黑体" w:cs="宋体"/>
      <w:kern w:val="0"/>
      <w:sz w:val="32"/>
      <w:szCs w:val="32"/>
    </w:rPr>
  </w:style>
  <w:style w:type="paragraph" w:customStyle="1" w:styleId="15">
    <w:name w:val="正文表标题"/>
    <w:basedOn w:val="1"/>
    <w:next w:val="7"/>
    <w:qFormat/>
    <w:uiPriority w:val="0"/>
    <w:pPr>
      <w:widowControl/>
      <w:spacing w:beforeLines="50" w:afterLines="50"/>
      <w:jc w:val="center"/>
    </w:pPr>
    <w:rPr>
      <w:rFonts w:ascii="黑体" w:hAnsi="黑体" w:eastAsia="黑体" w:cs="宋体"/>
      <w:kern w:val="0"/>
    </w:rPr>
  </w:style>
  <w:style w:type="paragraph" w:customStyle="1" w:styleId="16">
    <w:name w:val="一级无"/>
    <w:basedOn w:val="10"/>
    <w:qFormat/>
    <w:uiPriority w:val="0"/>
    <w:pPr>
      <w:spacing w:beforeLines="0" w:afterLines="0"/>
    </w:pPr>
    <w:rPr>
      <w:rFonts w:ascii="宋体" w:hAnsi="宋体" w:eastAsia="宋体"/>
    </w:rPr>
  </w:style>
  <w:style w:type="paragraph" w:customStyle="1" w:styleId="17">
    <w:name w:val="目次、索引正文"/>
    <w:qFormat/>
    <w:uiPriority w:val="0"/>
    <w:pPr>
      <w:spacing w:line="320" w:lineRule="exact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">
    <w:name w:val="终结线"/>
    <w:basedOn w:val="1"/>
    <w:qFormat/>
    <w:uiPriority w:val="0"/>
    <w:pPr>
      <w:framePr w:hSpace="181" w:vSpace="181" w:wrap="around" w:vAnchor="text" w:hAnchor="margin" w:xAlign="center" w:y="285"/>
      <w:ind w:firstLine="0" w:firstLineChars="0"/>
    </w:pPr>
  </w:style>
  <w:style w:type="paragraph" w:customStyle="1" w:styleId="19">
    <w:name w:val="标准文件_目录标题"/>
    <w:basedOn w:val="1"/>
    <w:qFormat/>
    <w:uiPriority w:val="0"/>
    <w:pPr>
      <w:spacing w:after="150" w:afterLines="150" w:line="240" w:lineRule="auto"/>
      <w:jc w:val="center"/>
    </w:pPr>
    <w:rPr>
      <w:rFonts w:ascii="黑体" w:eastAsia="黑体"/>
      <w:sz w:val="32"/>
    </w:rPr>
  </w:style>
  <w:style w:type="paragraph" w:customStyle="1" w:styleId="2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1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2984</Words>
  <Characters>3461</Characters>
  <Lines>28</Lines>
  <Paragraphs>7</Paragraphs>
  <TotalTime>1</TotalTime>
  <ScaleCrop>false</ScaleCrop>
  <LinksUpToDate>false</LinksUpToDate>
  <CharactersWithSpaces>3861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2021-12-10T11:46:00Z</dcterms:created>
  <dc:creator>Administrator</dc:creator>
  <cp:lastModifiedBy>user</cp:lastModifiedBy>
  <cp:lastPrinted>2022-08-19T14:23:00Z</cp:lastPrinted>
  <dcterms:modified xsi:type="dcterms:W3CDTF">2022-09-26T09:43:45Z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18908053F7574457BA809E8BF743E116</vt:lpwstr>
  </property>
</Properties>
</file>