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rPr>
          <w:rFonts w:ascii="黑体" w:hAnsi="黑体"/>
          <w:b/>
          <w:szCs w:val="21"/>
        </w:rPr>
      </w:pPr>
      <w:r>
        <w:rPr>
          <w:rFonts w:ascii="黑体" w:hAnsi="黑体"/>
          <w:b/>
          <w:szCs w:val="21"/>
        </w:rPr>
        <w:t xml:space="preserve">ICS     </w:t>
      </w:r>
    </w:p>
    <w:p>
      <w:pPr>
        <w:pStyle w:val="19"/>
        <w:rPr>
          <w:rFonts w:ascii="黑体" w:hAnsi="黑体"/>
          <w:b/>
          <w:szCs w:val="21"/>
        </w:rPr>
      </w:pPr>
      <w:r>
        <w:rPr>
          <w:rFonts w:ascii="黑体" w:hAnsi="黑体" w:eastAsia="黑体" w:cs="Times New Roman"/>
          <w:b/>
          <w:kern w:val="0"/>
          <w:sz w:val="21"/>
          <w:szCs w:val="21"/>
          <w:lang w:val="en-US" w:eastAsia="zh-CN" w:bidi="ar-SA"/>
        </w:rPr>
        <w:pict>
          <v:shape id="_x0000_s1026" o:spid="_x0000_s1026" o:spt="202" type="#_x0000_t202" style="position:absolute;left:0pt;margin-left:239.25pt;margin-top:9.75pt;height:75.45pt;width:234.4pt;mso-wrap-distance-bottom:3.6pt;mso-wrap-distance-left:9pt;mso-wrap-distance-right:9pt;mso-wrap-distance-top:3.6pt;z-index:251659264;mso-width-relative:page;mso-height-relative:page;" fillcolor="#FFFFFF" filled="t" stroked="t" coordsize="21600,21600">
            <v:path/>
            <v:fill on="t" color2="#FFFFFF" focussize="0,0"/>
            <v:stroke color="#000000" joinstyle="miter"/>
            <v:imagedata o:title=""/>
            <o:lock v:ext="edit" aspectratio="f"/>
            <v:textbox>
              <w:txbxContent>
                <w:p>
                  <w:pPr>
                    <w:rPr>
                      <w:rFonts w:ascii="黑体" w:hAnsi="黑体" w:eastAsia="黑体"/>
                      <w:sz w:val="32"/>
                      <w:szCs w:val="32"/>
                    </w:rPr>
                  </w:pPr>
                  <w:r>
                    <w:rPr>
                      <w:rFonts w:hint="eastAsia" w:ascii="黑体" w:hAnsi="宋体" w:eastAsia="黑体" w:cs="宋体"/>
                      <w:color w:val="000000"/>
                      <w:kern w:val="0"/>
                    </w:rPr>
                    <w:t xml:space="preserve"> </w:t>
                  </w:r>
                  <w:r>
                    <w:rPr>
                      <w:rFonts w:ascii="Bold" w:hAnsi="Bold" w:cs="宋体"/>
                      <w:b/>
                      <w:bCs/>
                      <w:color w:val="000000"/>
                      <w:kern w:val="0"/>
                      <w:sz w:val="110"/>
                      <w:szCs w:val="110"/>
                    </w:rPr>
                    <w:t>DB2105</w:t>
                  </w:r>
                  <w:r>
                    <w:rPr>
                      <w:rFonts w:hint="eastAsia" w:ascii="黑体" w:hAnsi="宋体" w:eastAsia="黑体" w:cs="宋体"/>
                      <w:color w:val="000000"/>
                      <w:kern w:val="0"/>
                    </w:rPr>
                    <w:t xml:space="preserve"> </w:t>
                  </w:r>
                </w:p>
              </w:txbxContent>
            </v:textbox>
            <w10:wrap type="square"/>
          </v:shape>
        </w:pict>
      </w:r>
      <w:r>
        <w:rPr>
          <w:rFonts w:hint="eastAsia" w:ascii="黑体" w:hAnsi="黑体"/>
          <w:b/>
          <w:szCs w:val="21"/>
        </w:rPr>
        <w:t>C</w:t>
      </w: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20"/>
        <w:rPr>
          <w:rFonts w:ascii="黑体" w:hAnsi="黑体"/>
          <w:szCs w:val="21"/>
        </w:rPr>
      </w:pPr>
      <w:r>
        <w:rPr>
          <w:rFonts w:hint="eastAsia"/>
        </w:rPr>
        <w:t>本溪市地方标准</w:t>
      </w:r>
    </w:p>
    <w:p>
      <w:pPr>
        <w:pStyle w:val="19"/>
        <w:jc w:val="center"/>
        <w:rPr>
          <w:rFonts w:ascii="黑体" w:hAnsi="黑体"/>
          <w:sz w:val="28"/>
          <w:szCs w:val="28"/>
        </w:rPr>
      </w:pPr>
      <w:r>
        <w:rPr>
          <w:rFonts w:hint="eastAsia" w:ascii="黑体" w:hAnsi="黑体"/>
          <w:sz w:val="28"/>
          <w:szCs w:val="28"/>
          <w:lang w:val="en-US" w:eastAsia="zh-CN"/>
        </w:rPr>
        <w:t xml:space="preserve">                                              </w:t>
      </w:r>
      <w:r>
        <w:rPr>
          <w:rFonts w:hint="eastAsia" w:ascii="黑体" w:hAnsi="黑体"/>
          <w:sz w:val="28"/>
          <w:szCs w:val="28"/>
        </w:rPr>
        <w:t>D</w:t>
      </w:r>
      <w:r>
        <w:rPr>
          <w:rFonts w:ascii="黑体" w:hAnsi="黑体"/>
          <w:sz w:val="28"/>
          <w:szCs w:val="28"/>
        </w:rPr>
        <w:t>B</w:t>
      </w:r>
      <w:r>
        <w:rPr>
          <w:rFonts w:hint="eastAsia" w:ascii="黑体" w:hAnsi="黑体"/>
          <w:sz w:val="28"/>
          <w:szCs w:val="28"/>
          <w:lang w:val="en-US" w:eastAsia="zh-CN"/>
        </w:rPr>
        <w:t>2105</w:t>
      </w:r>
      <w:r>
        <w:rPr>
          <w:rFonts w:ascii="黑体" w:hAnsi="黑体"/>
          <w:sz w:val="28"/>
          <w:szCs w:val="28"/>
        </w:rPr>
        <w:t>/T</w:t>
      </w:r>
      <w:r>
        <w:rPr>
          <w:rFonts w:hint="eastAsia" w:ascii="黑体" w:hAnsi="黑体"/>
          <w:sz w:val="28"/>
          <w:szCs w:val="28"/>
          <w:lang w:val="en-US" w:eastAsia="zh-CN"/>
        </w:rPr>
        <w:t xml:space="preserve">   </w:t>
      </w:r>
      <w:r>
        <w:rPr>
          <w:rFonts w:hint="eastAsia" w:ascii="黑体" w:hAnsi="黑体"/>
          <w:sz w:val="28"/>
          <w:szCs w:val="28"/>
        </w:rPr>
        <w:t>-</w:t>
      </w:r>
    </w:p>
    <w:p>
      <w:pPr>
        <w:pStyle w:val="19"/>
        <w:rPr>
          <w:rFonts w:ascii="黑体" w:hAnsi="黑体"/>
          <w:b/>
          <w:szCs w:val="21"/>
        </w:rPr>
      </w:pPr>
      <w:r>
        <w:rPr>
          <w:rFonts w:ascii="黑体" w:hAnsi="黑体" w:eastAsia="黑体" w:cs="Mongolian Baiti"/>
          <w:kern w:val="0"/>
          <w:sz w:val="21"/>
          <w:szCs w:val="21"/>
          <w:lang w:val="en-US" w:eastAsia="zh-CN" w:bidi="ar-SA"/>
        </w:rPr>
        <w:pict>
          <v:line id="直接连接符 17" o:spid="_x0000_s1027" o:spt="20" style="position:absolute;left:0pt;margin-left:-0.2pt;margin-top:5.95pt;height:0.05pt;width:482pt;mso-position-horizontal-relative:margin;z-index:251658240;mso-width-relative:page;mso-height-relative:page;" fillcolor="#FFFFFF" filled="f" o:preferrelative="t" stroked="t" coordsize="21600,21600">
            <v:path arrowok="t"/>
            <v:fill on="f" color2="#FFFFFF" focussize="0,0"/>
            <v:stroke weight="0.5pt" color="#000000" color2="#FFFFFF" miterlimit="2"/>
            <v:imagedata gain="65536f" blacklevel="0f" gamma="0" o:title=""/>
            <o:lock v:ext="edit" position="f" selection="f" grouping="f" rotation="f" cropping="f" text="f" aspectratio="f"/>
          </v:line>
        </w:pict>
      </w:r>
    </w:p>
    <w:p>
      <w:pPr>
        <w:pStyle w:val="19"/>
        <w:spacing w:line="2268" w:lineRule="exact"/>
        <w:rPr>
          <w:rFonts w:ascii="黑体" w:hAnsi="黑体"/>
          <w:b/>
          <w:szCs w:val="21"/>
        </w:rPr>
      </w:pPr>
    </w:p>
    <w:p>
      <w:pPr>
        <w:pStyle w:val="19"/>
        <w:jc w:val="center"/>
        <w:rPr>
          <w:rFonts w:hint="eastAsia" w:ascii="黑体" w:hAnsi="黑体" w:eastAsia="黑体"/>
          <w:sz w:val="52"/>
          <w:szCs w:val="52"/>
          <w:lang w:eastAsia="zh-CN"/>
        </w:rPr>
      </w:pPr>
      <w:r>
        <w:rPr>
          <w:rFonts w:hint="eastAsia" w:ascii="黑体" w:hAnsi="黑体"/>
          <w:sz w:val="52"/>
          <w:szCs w:val="52"/>
          <w:lang w:eastAsia="zh-CN"/>
        </w:rPr>
        <w:t>地理标志产品</w:t>
      </w:r>
      <w:r>
        <w:rPr>
          <w:rFonts w:hint="eastAsia" w:ascii="黑体" w:hAnsi="黑体"/>
          <w:sz w:val="52"/>
          <w:szCs w:val="52"/>
          <w:lang w:val="en-US" w:eastAsia="zh-CN"/>
        </w:rPr>
        <w:t xml:space="preserve"> </w:t>
      </w:r>
      <w:r>
        <w:rPr>
          <w:rFonts w:hint="eastAsia" w:ascii="黑体" w:hAnsi="黑体"/>
          <w:sz w:val="52"/>
          <w:szCs w:val="52"/>
        </w:rPr>
        <w:t>桓仁山</w:t>
      </w:r>
      <w:r>
        <w:rPr>
          <w:rFonts w:hint="eastAsia" w:ascii="黑体" w:hAnsi="黑体"/>
          <w:sz w:val="52"/>
          <w:szCs w:val="52"/>
          <w:lang w:eastAsia="zh-CN"/>
        </w:rPr>
        <w:t>核桃油</w:t>
      </w: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pStyle w:val="19"/>
        <w:rPr>
          <w:rFonts w:ascii="黑体" w:hAnsi="黑体"/>
          <w:b/>
          <w:szCs w:val="21"/>
        </w:rPr>
      </w:pPr>
    </w:p>
    <w:p>
      <w:pPr>
        <w:widowControl/>
        <w:ind w:firstLine="560" w:firstLineChars="200"/>
        <w:jc w:val="left"/>
        <w:rPr>
          <w:rFonts w:hint="eastAsia" w:ascii="宋体" w:hAnsi="宋体"/>
          <w:kern w:val="0"/>
          <w:sz w:val="24"/>
          <w:szCs w:val="24"/>
        </w:rPr>
      </w:pPr>
      <w:r>
        <w:rPr>
          <w:rFonts w:hint="eastAsia" w:ascii="黑体" w:hAnsi="黑体" w:eastAsia="黑体" w:cs="宋体"/>
          <w:color w:val="000000"/>
          <w:kern w:val="0"/>
          <w:sz w:val="28"/>
          <w:szCs w:val="28"/>
        </w:rPr>
        <w:t xml:space="preserve"> - </w:t>
      </w:r>
      <w:r>
        <w:rPr>
          <w:rFonts w:hint="eastAsia" w:ascii="黑体" w:hAnsi="黑体" w:eastAsia="黑体" w:cs="宋体"/>
          <w:color w:val="000000"/>
          <w:kern w:val="0"/>
          <w:sz w:val="28"/>
          <w:szCs w:val="28"/>
          <w:lang w:val="en-US" w:eastAsia="zh-CN"/>
        </w:rPr>
        <w:t xml:space="preserve">   </w:t>
      </w:r>
      <w:r>
        <w:rPr>
          <w:rFonts w:hint="eastAsia" w:ascii="黑体" w:hAnsi="黑体" w:eastAsia="黑体" w:cs="宋体"/>
          <w:color w:val="000000"/>
          <w:kern w:val="0"/>
          <w:sz w:val="28"/>
          <w:szCs w:val="28"/>
        </w:rPr>
        <w:t xml:space="preserve">- </w:t>
      </w:r>
      <w:r>
        <w:rPr>
          <w:rFonts w:hint="eastAsia" w:ascii="黑体" w:hAnsi="黑体" w:eastAsia="黑体" w:cs="宋体"/>
          <w:color w:val="000000"/>
          <w:kern w:val="0"/>
          <w:sz w:val="28"/>
          <w:szCs w:val="28"/>
          <w:lang w:val="en-US" w:eastAsia="zh-CN"/>
        </w:rPr>
        <w:t xml:space="preserve">  </w:t>
      </w:r>
      <w:r>
        <w:rPr>
          <w:rFonts w:hint="eastAsia" w:ascii="黑体" w:hAnsi="黑体" w:eastAsia="黑体" w:cs="宋体"/>
          <w:color w:val="000000"/>
          <w:kern w:val="0"/>
          <w:sz w:val="28"/>
          <w:szCs w:val="28"/>
        </w:rPr>
        <w:t xml:space="preserve"> 发布 </w:t>
      </w:r>
      <w:r>
        <w:rPr>
          <w:rFonts w:hint="eastAsia"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宋体" w:hAnsi="宋体"/>
          <w:kern w:val="0"/>
          <w:sz w:val="24"/>
          <w:szCs w:val="24"/>
        </w:rPr>
        <w:t xml:space="preserve"> </w:t>
      </w:r>
      <w:r>
        <w:rPr>
          <w:rFonts w:hint="eastAsia" w:ascii="宋体" w:hAnsi="宋体"/>
          <w:kern w:val="0"/>
          <w:sz w:val="24"/>
          <w:szCs w:val="24"/>
          <w:lang w:val="en-US" w:eastAsia="zh-CN"/>
        </w:rPr>
        <w:t xml:space="preserve">  </w:t>
      </w:r>
      <w:r>
        <w:rPr>
          <w:rFonts w:hint="eastAsia" w:ascii="黑体" w:hAnsi="黑体" w:eastAsia="黑体" w:cs="宋体"/>
          <w:color w:val="000000"/>
          <w:kern w:val="0"/>
          <w:sz w:val="28"/>
          <w:szCs w:val="28"/>
          <w:lang w:val="en-US" w:eastAsia="zh-CN"/>
        </w:rPr>
        <w:t xml:space="preserve"> </w:t>
      </w:r>
      <w:r>
        <w:rPr>
          <w:rFonts w:hint="eastAsia" w:ascii="黑体" w:hAnsi="黑体" w:eastAsia="黑体" w:cs="宋体"/>
          <w:color w:val="000000"/>
          <w:kern w:val="0"/>
          <w:sz w:val="28"/>
          <w:szCs w:val="28"/>
        </w:rPr>
        <w:t xml:space="preserve">- </w:t>
      </w:r>
      <w:r>
        <w:rPr>
          <w:rFonts w:hint="eastAsia" w:ascii="黑体" w:hAnsi="黑体" w:eastAsia="黑体" w:cs="宋体"/>
          <w:color w:val="000000"/>
          <w:kern w:val="0"/>
          <w:sz w:val="28"/>
          <w:szCs w:val="28"/>
          <w:lang w:val="en-US" w:eastAsia="zh-CN"/>
        </w:rPr>
        <w:t xml:space="preserve">   </w:t>
      </w:r>
      <w:r>
        <w:rPr>
          <w:rFonts w:hint="eastAsia" w:ascii="黑体" w:hAnsi="黑体" w:eastAsia="黑体" w:cs="宋体"/>
          <w:color w:val="000000"/>
          <w:kern w:val="0"/>
          <w:sz w:val="28"/>
          <w:szCs w:val="28"/>
        </w:rPr>
        <w:t xml:space="preserve">- </w:t>
      </w:r>
      <w:r>
        <w:rPr>
          <w:rFonts w:hint="eastAsia" w:ascii="黑体" w:hAnsi="黑体" w:eastAsia="黑体" w:cs="宋体"/>
          <w:color w:val="000000"/>
          <w:kern w:val="0"/>
          <w:sz w:val="28"/>
          <w:szCs w:val="28"/>
          <w:lang w:val="en-US" w:eastAsia="zh-CN"/>
        </w:rPr>
        <w:t xml:space="preserve">  </w:t>
      </w:r>
      <w:r>
        <w:rPr>
          <w:rFonts w:hint="eastAsia" w:ascii="黑体" w:hAnsi="黑体" w:eastAsia="黑体" w:cs="宋体"/>
          <w:color w:val="000000"/>
          <w:kern w:val="0"/>
          <w:sz w:val="28"/>
          <w:szCs w:val="28"/>
        </w:rPr>
        <w:t xml:space="preserve">实施 </w:t>
      </w:r>
    </w:p>
    <w:p>
      <w:pPr>
        <w:pStyle w:val="19"/>
        <w:rPr>
          <w:rFonts w:ascii="黑体" w:hAnsi="黑体"/>
          <w:b/>
          <w:szCs w:val="21"/>
        </w:rPr>
      </w:pPr>
      <w:r>
        <w:rPr>
          <w:rFonts w:ascii="黑体" w:hAnsi="黑体" w:eastAsia="黑体" w:cs="Mongolian Baiti"/>
          <w:kern w:val="0"/>
          <w:sz w:val="21"/>
          <w:szCs w:val="21"/>
          <w:lang w:val="en-US" w:eastAsia="zh-CN" w:bidi="ar-SA"/>
        </w:rPr>
        <w:pict>
          <v:line id="直接连接符 4" o:spid="_x0000_s1028" o:spt="20" style="position:absolute;left:0pt;margin-left:-0.05pt;margin-top:1.75pt;height:0.05pt;width:482pt;mso-position-horizontal-relative:margin;z-index:251660288;mso-width-relative:page;mso-height-relative:page;" fillcolor="#FFFFFF" filled="f" o:preferrelative="t" stroked="t" coordsize="21600,21600">
            <v:path arrowok="t"/>
            <v:fill on="f" color2="#FFFFFF" focussize="0,0"/>
            <v:stroke weight="0.5pt" color="#000000" color2="#FFFFFF" miterlimit="2"/>
            <v:imagedata gain="65536f" blacklevel="0f" gamma="0" o:title=""/>
            <o:lock v:ext="edit" position="f" selection="f" grouping="f" rotation="f" cropping="f" text="f" aspectratio="f"/>
          </v:line>
        </w:pict>
      </w:r>
    </w:p>
    <w:p>
      <w:pPr>
        <w:pStyle w:val="19"/>
        <w:tabs>
          <w:tab w:val="left" w:pos="1470"/>
        </w:tabs>
        <w:ind w:left="694" w:hanging="694" w:hangingChars="248"/>
        <w:jc w:val="center"/>
        <w:rPr>
          <w:rFonts w:ascii="黑体" w:hAnsi="黑体"/>
          <w:sz w:val="28"/>
          <w:szCs w:val="28"/>
          <w:highlight w:val="yellow"/>
        </w:rPr>
      </w:pPr>
    </w:p>
    <w:p>
      <w:pPr>
        <w:pStyle w:val="19"/>
        <w:ind w:firstLine="1578" w:firstLineChars="300"/>
        <w:rPr>
          <w:rFonts w:ascii="黑体" w:hAnsi="黑体"/>
          <w:b/>
          <w:szCs w:val="21"/>
        </w:rPr>
      </w:pPr>
      <w:r>
        <w:rPr>
          <w:rFonts w:hint="eastAsia" w:ascii="黑体" w:hAnsi="Times New Roman" w:eastAsia="黑体" w:cs="Times New Roman"/>
          <w:b w:val="0"/>
          <w:spacing w:val="20"/>
          <w:w w:val="135"/>
          <w:kern w:val="0"/>
          <w:sz w:val="36"/>
          <w:szCs w:val="20"/>
          <w:lang w:val="en-US" w:eastAsia="zh-CN" w:bidi="ar-SA"/>
        </w:rPr>
        <w:t>本溪市市场监督管理局</w:t>
      </w:r>
      <w:r>
        <w:rPr>
          <w:rStyle w:val="44"/>
          <w:rFonts w:hint="eastAsia"/>
        </w:rPr>
        <w:t xml:space="preserve"> 发布</w:t>
      </w:r>
    </w:p>
    <w:p>
      <w:pPr>
        <w:pStyle w:val="19"/>
        <w:rPr>
          <w:rFonts w:ascii="黑体" w:hAnsi="黑体"/>
          <w:b/>
          <w:szCs w:val="21"/>
        </w:rPr>
        <w:sectPr>
          <w:headerReference r:id="rId5" w:type="first"/>
          <w:footerReference r:id="rId8" w:type="first"/>
          <w:headerReference r:id="rId3" w:type="default"/>
          <w:footerReference r:id="rId6" w:type="default"/>
          <w:headerReference r:id="rId4" w:type="even"/>
          <w:footerReference r:id="rId7" w:type="even"/>
          <w:pgSz w:w="11906" w:h="16838"/>
          <w:pgMar w:top="567" w:right="851" w:bottom="1440" w:left="1418" w:header="851" w:footer="992" w:gutter="0"/>
          <w:cols w:space="720" w:num="1"/>
          <w:titlePg/>
          <w:docGrid w:type="lines" w:linePitch="312" w:charSpace="0"/>
        </w:sectPr>
      </w:pPr>
    </w:p>
    <w:p>
      <w:pPr>
        <w:widowControl/>
        <w:spacing w:line="851" w:lineRule="exact"/>
        <w:jc w:val="center"/>
        <w:rPr>
          <w:rFonts w:ascii="黑体" w:hAnsi="黑体" w:eastAsia="黑体"/>
          <w:sz w:val="32"/>
          <w:szCs w:val="32"/>
        </w:rPr>
      </w:pPr>
    </w:p>
    <w:p>
      <w:pPr>
        <w:pStyle w:val="27"/>
        <w:spacing w:after="468"/>
        <w:rPr>
          <w:rFonts w:hint="eastAsia"/>
        </w:rPr>
      </w:pPr>
      <w:r>
        <w:rPr>
          <w:rFonts w:hint="eastAsia"/>
          <w:spacing w:val="320"/>
        </w:rPr>
        <w:t>目</w:t>
      </w:r>
      <w:r>
        <w:rPr>
          <w:rFonts w:hint="eastAsia"/>
        </w:rPr>
        <w:t>次</w:t>
      </w:r>
    </w:p>
    <w:p>
      <w:pPr>
        <w:spacing w:before="0" w:beforeLines="0" w:after="0" w:afterLines="0" w:line="240" w:lineRule="auto"/>
        <w:ind w:left="0" w:leftChars="0" w:right="0" w:firstLine="0" w:firstLineChars="0"/>
        <w:jc w:val="center"/>
      </w:pP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"1-1" \h \u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_Toc21020 </w:instrText>
      </w:r>
      <w:r>
        <w:rPr>
          <w:rFonts w:hint="eastAsia" w:ascii="宋体" w:hAnsi="宋体" w:eastAsia="宋体" w:cs="宋体"/>
          <w:sz w:val="21"/>
          <w:szCs w:val="21"/>
        </w:rPr>
        <w:fldChar w:fldCharType="separate"/>
      </w:r>
      <w:r>
        <w:rPr>
          <w:rFonts w:hint="eastAsia" w:ascii="宋体" w:hAnsi="宋体" w:eastAsia="宋体" w:cs="宋体"/>
          <w:sz w:val="21"/>
          <w:szCs w:val="21"/>
        </w:rPr>
        <w:t>前言</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_Toc21020 \h </w:instrText>
      </w:r>
      <w:r>
        <w:rPr>
          <w:rFonts w:hint="eastAsia" w:ascii="宋体" w:hAnsi="宋体" w:eastAsia="宋体" w:cs="宋体"/>
          <w:sz w:val="21"/>
          <w:szCs w:val="21"/>
        </w:rPr>
        <w:fldChar w:fldCharType="separate"/>
      </w:r>
      <w:r>
        <w:rPr>
          <w:rFonts w:hint="eastAsia" w:ascii="宋体" w:hAnsi="宋体" w:eastAsia="宋体" w:cs="宋体"/>
          <w:sz w:val="21"/>
          <w:szCs w:val="21"/>
        </w:rPr>
        <w:t>II</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_Toc22920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_Toc22920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_Toc28112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规范性引用文件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_Toc28112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_Toc12224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术语和定义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_Toc12224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_Toc12868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bidi="ar-SA"/>
        </w:rPr>
        <w:t>4</w:t>
      </w:r>
      <w:r>
        <w:rPr>
          <w:rFonts w:hint="eastAsia" w:ascii="宋体" w:hAnsi="宋体" w:eastAsia="宋体" w:cs="宋体"/>
          <w:sz w:val="21"/>
          <w:szCs w:val="21"/>
          <w:lang w:val="en-US" w:eastAsia="zh-CN"/>
        </w:rPr>
        <w:t xml:space="preserve">  地理标志产品保护范围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_Toc12868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_Toc12868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bidi="ar-SA"/>
        </w:rPr>
        <w:t>5</w:t>
      </w:r>
      <w:r>
        <w:rPr>
          <w:rFonts w:hint="eastAsia" w:ascii="宋体" w:hAnsi="宋体" w:eastAsia="宋体" w:cs="宋体"/>
          <w:sz w:val="21"/>
          <w:szCs w:val="21"/>
          <w:lang w:val="en-US" w:eastAsia="zh-CN"/>
        </w:rPr>
        <w:t xml:space="preserve">  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_Toc12868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_Toc17327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6  检验方法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_Toc17327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_Toc11967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7  检验规则</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_Toc11967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_Toc15210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8  标志和标识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_Toc15210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_Toc21884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bidi="ar-SA"/>
        </w:rPr>
        <w:t>9</w:t>
      </w:r>
      <w:r>
        <w:rPr>
          <w:rFonts w:hint="eastAsia" w:ascii="宋体" w:hAnsi="宋体" w:eastAsia="宋体" w:cs="宋体"/>
          <w:sz w:val="21"/>
          <w:szCs w:val="21"/>
          <w:lang w:val="en-US" w:eastAsia="zh-CN"/>
        </w:rPr>
        <w:t xml:space="preserve">  包装、储存、运输和销售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_Toc21884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rPr>
          <w:rFonts w:hint="eastAsia" w:ascii="宋体" w:hAnsi="宋体" w:eastAsia="宋体" w:cs="宋体"/>
          <w:sz w:val="21"/>
          <w:szCs w:val="21"/>
        </w:rPr>
      </w:pPr>
      <w:r>
        <w:rPr>
          <w:rFonts w:hint="eastAsia" w:ascii="宋体" w:hAnsi="宋体" w:eastAsia="宋体" w:cs="宋体"/>
          <w:sz w:val="21"/>
          <w:szCs w:val="21"/>
        </w:rPr>
        <w:fldChar w:fldCharType="end"/>
      </w:r>
    </w:p>
    <w:p>
      <w:pPr>
        <w:pStyle w:val="10"/>
        <w:tabs>
          <w:tab w:val="right" w:leader="dot" w:pos="9344"/>
        </w:tabs>
        <w:rPr>
          <w:rFonts w:hint="eastAsia" w:ascii="宋体" w:hAnsi="宋体" w:eastAsia="宋体" w:cs="宋体"/>
          <w:b/>
          <w:bCs/>
          <w:sz w:val="21"/>
          <w:szCs w:val="21"/>
          <w:lang w:val="zh-CN"/>
        </w:rPr>
      </w:pPr>
    </w:p>
    <w:p>
      <w:pPr>
        <w:pStyle w:val="10"/>
        <w:tabs>
          <w:tab w:val="right" w:leader="dot" w:pos="9344"/>
        </w:tabs>
        <w:rPr>
          <w:rFonts w:hint="eastAsia" w:ascii="宋体" w:hAnsi="宋体" w:eastAsia="宋体" w:cs="宋体"/>
          <w:color w:val="0563C1"/>
          <w:sz w:val="21"/>
          <w:szCs w:val="21"/>
          <w:u w:val="single"/>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b/>
          <w:sz w:val="21"/>
          <w:szCs w:val="21"/>
        </w:rPr>
      </w:pPr>
    </w:p>
    <w:p>
      <w:pPr>
        <w:widowControl/>
        <w:jc w:val="left"/>
        <w:rPr>
          <w:rFonts w:hint="eastAsia" w:ascii="宋体" w:hAnsi="宋体" w:eastAsia="宋体" w:cs="宋体"/>
          <w:sz w:val="21"/>
          <w:szCs w:val="21"/>
        </w:rPr>
      </w:pPr>
      <w:r>
        <w:rPr>
          <w:rFonts w:hint="eastAsia" w:ascii="宋体" w:hAnsi="宋体" w:eastAsia="宋体" w:cs="宋体"/>
          <w:sz w:val="21"/>
          <w:szCs w:val="21"/>
        </w:rPr>
        <w:br w:type="page"/>
      </w:r>
    </w:p>
    <w:p>
      <w:pPr>
        <w:widowControl/>
        <w:spacing w:line="851" w:lineRule="exact"/>
        <w:jc w:val="right"/>
        <w:rPr>
          <w:rFonts w:hint="eastAsia" w:ascii="宋体" w:hAnsi="宋体" w:eastAsia="宋体" w:cs="宋体"/>
          <w:sz w:val="21"/>
          <w:szCs w:val="21"/>
        </w:rPr>
      </w:pPr>
    </w:p>
    <w:p>
      <w:pPr>
        <w:pStyle w:val="3"/>
        <w:outlineLvl w:val="0"/>
      </w:pPr>
      <w:bookmarkStart w:id="0" w:name="_Toc21020"/>
      <w:bookmarkStart w:id="1" w:name="_Toc21720"/>
      <w:r>
        <w:rPr>
          <w:rFonts w:hint="eastAsia"/>
        </w:rPr>
        <w:t>前言</w:t>
      </w:r>
      <w:bookmarkEnd w:id="0"/>
      <w:bookmarkEnd w:id="1"/>
    </w:p>
    <w:p>
      <w:pPr>
        <w:pStyle w:val="23"/>
        <w:ind w:firstLine="409" w:firstLineChars="195"/>
        <w:rPr>
          <w:rFonts w:hint="eastAsia"/>
        </w:rPr>
      </w:pPr>
      <w:r>
        <w:rPr>
          <w:rFonts w:hint="eastAsia"/>
        </w:rPr>
        <w:t>本</w:t>
      </w:r>
      <w:r>
        <w:rPr>
          <w:rFonts w:hint="eastAsia"/>
          <w:lang w:eastAsia="zh-CN"/>
        </w:rPr>
        <w:t>文件</w:t>
      </w:r>
      <w:r>
        <w:rPr>
          <w:rFonts w:hint="eastAsia"/>
        </w:rPr>
        <w:t>根据国家质量监督</w:t>
      </w:r>
      <w:r>
        <w:rPr>
          <w:rFonts w:hint="eastAsia"/>
          <w:lang w:eastAsia="zh-CN"/>
        </w:rPr>
        <w:t>检验</w:t>
      </w:r>
      <w:r>
        <w:rPr>
          <w:rFonts w:hint="eastAsia"/>
        </w:rPr>
        <w:t>检疫总局颁布的《地理标志产品保护规定》及GB</w:t>
      </w:r>
      <w:r>
        <w:rPr>
          <w:rFonts w:hint="eastAsia"/>
          <w:lang w:val="en-US" w:eastAsia="zh-CN"/>
        </w:rPr>
        <w:t xml:space="preserve">/T </w:t>
      </w:r>
      <w:r>
        <w:rPr>
          <w:rFonts w:hint="eastAsia"/>
        </w:rPr>
        <w:t>17924-</w:t>
      </w:r>
      <w:r>
        <w:rPr>
          <w:rFonts w:hint="eastAsia"/>
          <w:lang w:val="en-US" w:eastAsia="zh-CN"/>
        </w:rPr>
        <w:t>2008</w:t>
      </w:r>
      <w:r>
        <w:rPr>
          <w:rFonts w:hint="eastAsia"/>
        </w:rPr>
        <w:t>《</w:t>
      </w:r>
      <w:r>
        <w:rPr>
          <w:rFonts w:ascii="Verdana" w:hAnsi="Verdana" w:eastAsia="宋体" w:cs="Verdana"/>
          <w:i w:val="0"/>
          <w:iCs w:val="0"/>
          <w:caps w:val="0"/>
          <w:color w:val="333333"/>
          <w:spacing w:val="0"/>
          <w:sz w:val="20"/>
          <w:szCs w:val="20"/>
          <w:shd w:val="clear" w:color="auto" w:fill="FFFFFF"/>
        </w:rPr>
        <w:t>地理标志产品 标准通用要求</w:t>
      </w:r>
      <w:r>
        <w:rPr>
          <w:rFonts w:hint="eastAsia"/>
        </w:rPr>
        <w:t>》制定；</w:t>
      </w:r>
    </w:p>
    <w:p>
      <w:pPr>
        <w:pStyle w:val="22"/>
        <w:ind w:firstLine="420"/>
        <w:rPr>
          <w:rFonts w:hint="eastAsia"/>
        </w:rPr>
      </w:pPr>
      <w:r>
        <w:rPr>
          <w:rFonts w:hint="eastAsia"/>
        </w:rPr>
        <w:t>本文件按照GB/T 1.1—2020《标准化工作导则  第1部分：标准化文件的结构和起草规则》的规定起草。</w:t>
      </w:r>
    </w:p>
    <w:p>
      <w:pPr>
        <w:pStyle w:val="23"/>
        <w:ind w:firstLine="409" w:firstLineChars="195"/>
        <w:rPr>
          <w:rFonts w:hint="eastAsia"/>
        </w:rPr>
      </w:pPr>
      <w:r>
        <w:rPr>
          <w:rFonts w:hint="eastAsia"/>
        </w:rPr>
        <w:t>本</w:t>
      </w:r>
      <w:r>
        <w:rPr>
          <w:rFonts w:hint="eastAsia"/>
          <w:lang w:eastAsia="zh-CN"/>
        </w:rPr>
        <w:t>文件</w:t>
      </w:r>
      <w:r>
        <w:rPr>
          <w:rFonts w:hint="eastAsia"/>
        </w:rPr>
        <w:t>的附录A为规范性附录；</w:t>
      </w:r>
    </w:p>
    <w:p>
      <w:pPr>
        <w:pStyle w:val="22"/>
        <w:ind w:firstLine="420"/>
      </w:pPr>
      <w:r>
        <w:rPr>
          <w:rFonts w:hint="eastAsia"/>
        </w:rPr>
        <w:t>请注意本文件的某些内容可能涉及专利。本文件的发布机构不承担识别专利的责任。</w:t>
      </w:r>
    </w:p>
    <w:p>
      <w:pPr>
        <w:pStyle w:val="23"/>
        <w:ind w:firstLine="409" w:firstLineChars="195"/>
        <w:rPr>
          <w:rFonts w:hint="eastAsia"/>
          <w:highlight w:val="none"/>
        </w:rPr>
      </w:pPr>
      <w:r>
        <w:rPr>
          <w:rFonts w:hint="eastAsia"/>
          <w:highlight w:val="none"/>
        </w:rPr>
        <w:t>本</w:t>
      </w:r>
      <w:r>
        <w:rPr>
          <w:rFonts w:hint="eastAsia"/>
          <w:highlight w:val="none"/>
          <w:lang w:eastAsia="zh-CN"/>
        </w:rPr>
        <w:t>文件</w:t>
      </w:r>
      <w:r>
        <w:rPr>
          <w:rFonts w:hint="eastAsia"/>
          <w:highlight w:val="none"/>
        </w:rPr>
        <w:t>由本溪市</w:t>
      </w:r>
      <w:r>
        <w:rPr>
          <w:rFonts w:hint="eastAsia"/>
          <w:highlight w:val="none"/>
          <w:lang w:eastAsia="zh-CN"/>
        </w:rPr>
        <w:t>市场监督管理局</w:t>
      </w:r>
      <w:r>
        <w:rPr>
          <w:rFonts w:hint="eastAsia"/>
          <w:highlight w:val="none"/>
        </w:rPr>
        <w:t>提出并归口；</w:t>
      </w:r>
    </w:p>
    <w:p>
      <w:pPr>
        <w:pStyle w:val="23"/>
        <w:ind w:firstLine="409" w:firstLineChars="195"/>
        <w:rPr>
          <w:rFonts w:hint="eastAsia" w:eastAsia="宋体"/>
          <w:lang w:eastAsia="zh-CN"/>
        </w:rPr>
      </w:pPr>
      <w:r>
        <w:rPr>
          <w:rFonts w:hint="eastAsia"/>
        </w:rPr>
        <w:t>本文件起草单位：</w:t>
      </w:r>
      <w:r>
        <w:rPr>
          <w:rFonts w:hint="eastAsia"/>
          <w:lang w:eastAsia="zh-CN"/>
        </w:rPr>
        <w:t>桓仁满族自治县</w:t>
      </w:r>
      <w:r>
        <w:rPr>
          <w:rFonts w:hint="eastAsia"/>
        </w:rPr>
        <w:t>检验检测</w:t>
      </w:r>
      <w:r>
        <w:rPr>
          <w:rFonts w:hint="eastAsia"/>
          <w:lang w:eastAsia="zh-CN"/>
        </w:rPr>
        <w:t>服务</w:t>
      </w:r>
      <w:r>
        <w:rPr>
          <w:rFonts w:hint="eastAsia"/>
        </w:rPr>
        <w:t>中心</w:t>
      </w:r>
      <w:r>
        <w:rPr>
          <w:rFonts w:hint="eastAsia"/>
          <w:lang w:eastAsia="zh-CN"/>
        </w:rPr>
        <w:t>；辽宁晟宇检验检测有限公司、辽宁长白仙子生物科技有限公司。</w:t>
      </w:r>
    </w:p>
    <w:p>
      <w:pPr>
        <w:pStyle w:val="22"/>
        <w:ind w:firstLine="420"/>
        <w:rPr>
          <w:rFonts w:hint="eastAsia"/>
          <w:lang w:eastAsia="zh-CN"/>
        </w:rPr>
      </w:pPr>
      <w:r>
        <w:rPr>
          <w:rFonts w:hint="eastAsia"/>
        </w:rPr>
        <w:t>本文件主要起草人：</w:t>
      </w:r>
      <w:r>
        <w:rPr>
          <w:rFonts w:hint="eastAsia"/>
          <w:lang w:eastAsia="zh-CN"/>
        </w:rPr>
        <w:t>樊琳琳、丁国伟、裴立楠、田凯文、金洪艳、张国营、王旭、王晶、孙巍、</w:t>
      </w:r>
      <w:r>
        <w:rPr>
          <w:rFonts w:hint="eastAsia"/>
          <w:lang w:val="en-US" w:eastAsia="zh-CN"/>
        </w:rPr>
        <w:t>原庆贺、</w:t>
      </w:r>
      <w:r>
        <w:rPr>
          <w:rFonts w:hint="eastAsia"/>
          <w:lang w:eastAsia="zh-CN"/>
        </w:rPr>
        <w:t>楚丽丽、张明月、杜宜男、孙诗涵。</w:t>
      </w:r>
    </w:p>
    <w:p>
      <w:pPr>
        <w:keepNext w:val="0"/>
        <w:keepLines w:val="0"/>
        <w:widowControl/>
        <w:suppressLineNumbers w:val="0"/>
        <w:ind w:firstLine="420" w:firstLineChars="200"/>
        <w:jc w:val="left"/>
        <w:rPr>
          <w:rFonts w:ascii="Times New Roman" w:hAnsi="Times New Roman" w:eastAsia="宋体" w:cs="Times New Roman"/>
          <w:sz w:val="21"/>
          <w:szCs w:val="21"/>
        </w:rPr>
      </w:pPr>
      <w:r>
        <w:rPr>
          <w:rFonts w:hint="eastAsia" w:ascii="宋体" w:hAnsi="宋体" w:eastAsia="宋体" w:cs="宋体"/>
          <w:color w:val="000000"/>
          <w:kern w:val="0"/>
          <w:sz w:val="21"/>
          <w:szCs w:val="21"/>
          <w:lang w:val="en-US" w:eastAsia="zh-CN" w:bidi="ar"/>
        </w:rPr>
        <w:t xml:space="preserve">本文件发布实施后，任何单位和个人如有问题和意见建议，均可以通过来电和来函等方式进行反馈，我们将及时答复并认真处理，根据实际情况依法进行评估及复审。联系方式如下： </w:t>
      </w:r>
    </w:p>
    <w:p>
      <w:pPr>
        <w:keepNext w:val="0"/>
        <w:keepLines w:val="0"/>
        <w:widowControl/>
        <w:suppressLineNumbers w:val="0"/>
        <w:ind w:firstLine="420" w:firstLineChars="20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auto"/>
          <w:sz w:val="21"/>
          <w:szCs w:val="21"/>
        </w:rPr>
        <w:t>桓仁满族自治县检验检测服务中心</w:t>
      </w:r>
      <w:r>
        <w:rPr>
          <w:rFonts w:hint="eastAsia" w:ascii="宋体" w:hAnsi="宋体" w:eastAsia="宋体" w:cs="宋体"/>
          <w:color w:val="auto"/>
          <w:kern w:val="0"/>
          <w:sz w:val="21"/>
          <w:szCs w:val="21"/>
          <w:lang w:val="en-US" w:eastAsia="zh-CN" w:bidi="ar"/>
        </w:rPr>
        <w:t xml:space="preserve">  </w:t>
      </w:r>
      <w:r>
        <w:rPr>
          <w:rFonts w:hint="eastAsia" w:ascii="宋体" w:hAnsi="宋体" w:eastAsia="宋体" w:cs="宋体"/>
          <w:i w:val="0"/>
          <w:caps w:val="0"/>
          <w:color w:val="auto"/>
          <w:spacing w:val="0"/>
          <w:kern w:val="0"/>
          <w:sz w:val="21"/>
          <w:szCs w:val="21"/>
          <w:shd w:val="clear" w:color="auto" w:fill="FFFFFF"/>
          <w:lang w:val="en-US" w:eastAsia="zh-CN" w:bidi="ar"/>
        </w:rPr>
        <w:t xml:space="preserve">桓仁满族自治县五女山路46号 </w:t>
      </w:r>
      <w:r>
        <w:rPr>
          <w:rFonts w:hint="eastAsia" w:ascii="Arial" w:hAnsi="Arial" w:eastAsia="宋体" w:cs="Arial"/>
          <w:i w:val="0"/>
          <w:caps w:val="0"/>
          <w:color w:val="666666"/>
          <w:spacing w:val="0"/>
          <w:kern w:val="0"/>
          <w:sz w:val="19"/>
          <w:szCs w:val="19"/>
          <w:shd w:val="clear" w:color="auto" w:fill="FFFFFF"/>
          <w:lang w:val="en-US" w:eastAsia="zh-CN" w:bidi="ar"/>
        </w:rPr>
        <w:t xml:space="preserve"> </w:t>
      </w:r>
      <w:r>
        <w:rPr>
          <w:rFonts w:hint="eastAsia" w:ascii="宋体" w:hAnsi="宋体" w:eastAsia="宋体" w:cs="宋体"/>
          <w:color w:val="000000"/>
          <w:kern w:val="0"/>
          <w:sz w:val="21"/>
          <w:szCs w:val="21"/>
          <w:lang w:val="en-US" w:eastAsia="zh-CN" w:bidi="ar"/>
        </w:rPr>
        <w:t xml:space="preserve"> 024-48823443</w:t>
      </w:r>
    </w:p>
    <w:p>
      <w:pPr>
        <w:widowControl/>
        <w:spacing w:line="851" w:lineRule="exact"/>
        <w:jc w:val="right"/>
        <w:rPr>
          <w:rFonts w:ascii="宋体" w:hAnsi="宋体" w:eastAsia="宋体"/>
          <w:b/>
          <w:szCs w:val="21"/>
        </w:rPr>
      </w:pPr>
      <w:bookmarkStart w:id="41" w:name="_GoBack"/>
      <w:bookmarkEnd w:id="41"/>
    </w:p>
    <w:p>
      <w:pPr>
        <w:rPr>
          <w:rFonts w:ascii="黑体" w:hAnsi="黑体" w:eastAsia="黑体"/>
          <w:sz w:val="32"/>
          <w:szCs w:val="32"/>
        </w:rPr>
        <w:sectPr>
          <w:footerReference r:id="rId9" w:type="default"/>
          <w:footerReference r:id="rId10" w:type="even"/>
          <w:pgSz w:w="11906" w:h="16838"/>
          <w:pgMar w:top="1418" w:right="1134" w:bottom="1418" w:left="1418" w:header="1417" w:footer="1134" w:gutter="0"/>
          <w:pgNumType w:fmt="upperRoman" w:start="1"/>
          <w:cols w:space="720" w:num="1"/>
          <w:docGrid w:type="linesAndChars" w:linePitch="312" w:charSpace="0"/>
        </w:sectPr>
      </w:pPr>
    </w:p>
    <w:p>
      <w:pPr>
        <w:spacing w:line="851" w:lineRule="exact"/>
        <w:jc w:val="center"/>
        <w:rPr>
          <w:rFonts w:ascii="黑体" w:hAnsi="黑体" w:eastAsia="黑体"/>
          <w:sz w:val="32"/>
          <w:szCs w:val="32"/>
        </w:rPr>
      </w:pPr>
    </w:p>
    <w:p>
      <w:pPr>
        <w:jc w:val="center"/>
        <w:rPr>
          <w:rFonts w:hint="eastAsia" w:ascii="黑体" w:hAnsi="黑体" w:eastAsia="黑体"/>
          <w:sz w:val="32"/>
          <w:szCs w:val="32"/>
          <w:lang w:eastAsia="zh-CN"/>
        </w:rPr>
      </w:pPr>
      <w:r>
        <w:rPr>
          <w:rFonts w:hint="eastAsia" w:ascii="黑体" w:hAnsi="黑体" w:eastAsia="黑体"/>
          <w:sz w:val="32"/>
          <w:szCs w:val="32"/>
          <w:lang w:eastAsia="zh-CN"/>
        </w:rPr>
        <w:t>地理标志产品</w:t>
      </w:r>
      <w:r>
        <w:rPr>
          <w:rFonts w:hint="eastAsia" w:ascii="黑体" w:hAnsi="黑体" w:eastAsia="黑体"/>
          <w:sz w:val="32"/>
          <w:szCs w:val="32"/>
          <w:lang w:val="en-US" w:eastAsia="zh-CN"/>
        </w:rPr>
        <w:t xml:space="preserve">  </w:t>
      </w:r>
      <w:r>
        <w:rPr>
          <w:rFonts w:hint="eastAsia" w:ascii="黑体" w:hAnsi="黑体" w:eastAsia="黑体"/>
          <w:sz w:val="32"/>
          <w:szCs w:val="32"/>
        </w:rPr>
        <w:t>桓仁山</w:t>
      </w:r>
      <w:r>
        <w:rPr>
          <w:rFonts w:hint="eastAsia" w:ascii="黑体" w:hAnsi="黑体" w:eastAsia="黑体"/>
          <w:sz w:val="32"/>
          <w:szCs w:val="32"/>
          <w:lang w:eastAsia="zh-CN"/>
        </w:rPr>
        <w:t>核桃油</w:t>
      </w:r>
    </w:p>
    <w:p>
      <w:pPr>
        <w:pStyle w:val="24"/>
        <w:numPr>
          <w:ilvl w:val="1"/>
          <w:numId w:val="0"/>
        </w:numPr>
        <w:wordWrap/>
        <w:adjustRightInd/>
        <w:snapToGrid/>
        <w:spacing w:before="157" w:beforeLines="50" w:after="157" w:afterLines="50" w:line="240" w:lineRule="auto"/>
        <w:ind w:leftChars="0"/>
        <w:textAlignment w:val="auto"/>
        <w:outlineLvl w:val="0"/>
        <w:rPr>
          <w:rFonts w:hint="eastAsia"/>
        </w:rPr>
      </w:pPr>
      <w:bookmarkStart w:id="2" w:name="_Toc22920"/>
      <w:bookmarkStart w:id="3" w:name="_Toc25213"/>
      <w:r>
        <w:rPr>
          <w:rFonts w:hint="eastAsia"/>
        </w:rPr>
        <w:t>1</w:t>
      </w:r>
      <w:r>
        <w:rPr>
          <w:rFonts w:hint="eastAsia"/>
          <w:lang w:val="en-US" w:eastAsia="zh-CN"/>
        </w:rPr>
        <w:t xml:space="preserve">  </w:t>
      </w:r>
      <w:r>
        <w:rPr>
          <w:rFonts w:hint="eastAsia"/>
        </w:rPr>
        <w:t>范围</w:t>
      </w:r>
      <w:bookmarkEnd w:id="2"/>
      <w:bookmarkEnd w:id="3"/>
    </w:p>
    <w:p>
      <w:pPr>
        <w:pStyle w:val="23"/>
        <w:wordWrap/>
        <w:adjustRightInd/>
        <w:snapToGrid/>
        <w:spacing w:before="157" w:beforeLines="50" w:after="157" w:afterLines="50" w:line="240" w:lineRule="auto"/>
        <w:ind w:firstLine="42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本文件规定了</w:t>
      </w:r>
      <w:r>
        <w:rPr>
          <w:rFonts w:hint="eastAsia" w:ascii="Times New Roman" w:cs="Times New Roman"/>
          <w:lang w:val="en-US" w:eastAsia="zh-CN"/>
        </w:rPr>
        <w:t xml:space="preserve">地理标志产品 </w:t>
      </w:r>
      <w:r>
        <w:rPr>
          <w:rFonts w:hint="default" w:ascii="Times New Roman" w:hAnsi="Times New Roman" w:eastAsia="宋体" w:cs="Times New Roman"/>
          <w:lang w:val="en-US" w:eastAsia="zh-CN"/>
        </w:rPr>
        <w:t>桓仁</w:t>
      </w:r>
      <w:r>
        <w:rPr>
          <w:rFonts w:hint="eastAsia" w:ascii="Times New Roman" w:cs="Times New Roman"/>
          <w:lang w:val="en-US" w:eastAsia="zh-CN"/>
        </w:rPr>
        <w:t>山核桃油</w:t>
      </w:r>
      <w:r>
        <w:rPr>
          <w:rFonts w:hint="default" w:ascii="Times New Roman" w:hAnsi="Times New Roman" w:eastAsia="宋体" w:cs="Times New Roman"/>
          <w:lang w:val="en-US" w:eastAsia="zh-CN"/>
        </w:rPr>
        <w:t>的术语和定义、地理标志产品保护范围、要求、检验方法、检验规则及标志、标签、包装、</w:t>
      </w:r>
      <w:r>
        <w:rPr>
          <w:rFonts w:hint="eastAsia" w:ascii="Times New Roman" w:cs="Times New Roman"/>
          <w:lang w:val="en-US" w:eastAsia="zh-CN"/>
        </w:rPr>
        <w:t>储存</w:t>
      </w:r>
      <w:r>
        <w:rPr>
          <w:rFonts w:hint="default" w:ascii="Times New Roman" w:hAnsi="Times New Roman" w:eastAsia="宋体" w:cs="Times New Roman"/>
          <w:lang w:val="en-US" w:eastAsia="zh-CN"/>
        </w:rPr>
        <w:t>、运输</w:t>
      </w:r>
      <w:r>
        <w:rPr>
          <w:rFonts w:hint="eastAsia" w:ascii="Times New Roman" w:cs="Times New Roman"/>
          <w:lang w:val="en-US" w:eastAsia="zh-CN"/>
        </w:rPr>
        <w:t>、销售</w:t>
      </w:r>
      <w:r>
        <w:rPr>
          <w:rFonts w:hint="default" w:ascii="Times New Roman" w:hAnsi="Times New Roman" w:eastAsia="宋体" w:cs="Times New Roman"/>
          <w:lang w:val="en-US" w:eastAsia="zh-CN"/>
        </w:rPr>
        <w:t>。</w:t>
      </w:r>
    </w:p>
    <w:p>
      <w:pPr>
        <w:pStyle w:val="23"/>
        <w:wordWrap/>
        <w:adjustRightInd/>
        <w:snapToGrid/>
        <w:spacing w:before="157" w:beforeLines="50" w:after="157" w:afterLines="50" w:line="240" w:lineRule="auto"/>
        <w:ind w:firstLine="42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本文件适用于国家质量监督检验检疫行政主管部门根据《地理标志产品保护规定》批准保护的桓仁</w:t>
      </w:r>
      <w:r>
        <w:rPr>
          <w:rFonts w:hint="eastAsia" w:ascii="Times New Roman" w:cs="Times New Roman"/>
          <w:lang w:val="en-US" w:eastAsia="zh-CN"/>
        </w:rPr>
        <w:t>山核桃油</w:t>
      </w:r>
      <w:r>
        <w:rPr>
          <w:rFonts w:hint="default" w:ascii="Times New Roman" w:hAnsi="Times New Roman" w:eastAsia="宋体" w:cs="Times New Roman"/>
          <w:lang w:val="en-US" w:eastAsia="zh-CN"/>
        </w:rPr>
        <w:t>。</w:t>
      </w:r>
    </w:p>
    <w:p>
      <w:pPr>
        <w:pStyle w:val="24"/>
        <w:numPr>
          <w:ilvl w:val="1"/>
          <w:numId w:val="0"/>
        </w:numPr>
        <w:wordWrap/>
        <w:adjustRightInd/>
        <w:snapToGrid/>
        <w:spacing w:before="157" w:beforeLines="50" w:after="157" w:afterLines="50" w:line="240" w:lineRule="auto"/>
        <w:ind w:leftChars="0"/>
        <w:textAlignment w:val="auto"/>
        <w:outlineLvl w:val="0"/>
        <w:rPr>
          <w:rFonts w:hint="eastAsia"/>
        </w:rPr>
      </w:pPr>
      <w:bookmarkStart w:id="4" w:name="_Toc28112"/>
      <w:bookmarkStart w:id="5" w:name="_Toc30994"/>
      <w:r>
        <w:rPr>
          <w:rFonts w:hint="eastAsia"/>
        </w:rPr>
        <w:t>2</w:t>
      </w:r>
      <w:r>
        <w:rPr>
          <w:rFonts w:hint="eastAsia"/>
          <w:lang w:val="en-US" w:eastAsia="zh-CN"/>
        </w:rPr>
        <w:t xml:space="preserve">  </w:t>
      </w:r>
      <w:r>
        <w:rPr>
          <w:rFonts w:hint="eastAsia"/>
        </w:rPr>
        <w:t>规范性引用文件</w:t>
      </w:r>
      <w:bookmarkEnd w:id="4"/>
      <w:bookmarkEnd w:id="5"/>
    </w:p>
    <w:p>
      <w:pPr>
        <w:wordWrap/>
        <w:adjustRightInd/>
        <w:snapToGrid/>
        <w:spacing w:before="157" w:beforeLines="50" w:after="157" w:afterLines="50" w:line="240" w:lineRule="auto"/>
        <w:ind w:firstLine="420" w:firstLineChars="200"/>
        <w:textAlignment w:val="auto"/>
        <w:rPr>
          <w:rFonts w:hint="eastAsia" w:ascii="宋体" w:hAnsi="宋体" w:eastAsia="宋体"/>
          <w:szCs w:val="21"/>
        </w:rPr>
      </w:pPr>
      <w:r>
        <w:rPr>
          <w:rFonts w:hint="eastAsia" w:ascii="宋体" w:hAnsi="宋体" w:eastAsia="宋体"/>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3"/>
        <w:wordWrap/>
        <w:adjustRightInd/>
        <w:snapToGrid/>
        <w:spacing w:line="240" w:lineRule="auto"/>
        <w:ind w:firstLine="420"/>
        <w:textAlignment w:val="auto"/>
        <w:rPr>
          <w:rFonts w:hint="default" w:ascii="宋体" w:hAnsi="宋体" w:eastAsia="宋体" w:cs="黑体"/>
          <w:kern w:val="2"/>
          <w:sz w:val="21"/>
          <w:szCs w:val="21"/>
          <w:lang w:val="en-US" w:eastAsia="zh-CN" w:bidi="ar-SA"/>
        </w:rPr>
      </w:pPr>
      <w:r>
        <w:rPr>
          <w:rFonts w:hint="default" w:ascii="宋体" w:hAnsi="宋体" w:eastAsia="宋体" w:cs="黑体"/>
          <w:kern w:val="2"/>
          <w:sz w:val="21"/>
          <w:szCs w:val="21"/>
          <w:lang w:val="en-US" w:eastAsia="zh-CN" w:bidi="ar-SA"/>
        </w:rPr>
        <w:t>GB 191</w:t>
      </w:r>
      <w:r>
        <w:rPr>
          <w:rFonts w:hint="eastAsia" w:hAnsi="宋体" w:cs="黑体"/>
          <w:kern w:val="2"/>
          <w:sz w:val="21"/>
          <w:szCs w:val="21"/>
          <w:lang w:val="en-US" w:eastAsia="zh-CN" w:bidi="ar-SA"/>
        </w:rPr>
        <w:t xml:space="preserve"> </w:t>
      </w:r>
      <w:r>
        <w:rPr>
          <w:rFonts w:hint="default" w:ascii="宋体" w:hAnsi="宋体" w:eastAsia="宋体" w:cs="黑体"/>
          <w:kern w:val="2"/>
          <w:sz w:val="21"/>
          <w:szCs w:val="21"/>
          <w:lang w:val="en-US" w:eastAsia="zh-CN" w:bidi="ar-SA"/>
        </w:rPr>
        <w:t xml:space="preserve"> 包装储运图示标志</w:t>
      </w:r>
    </w:p>
    <w:p>
      <w:pPr>
        <w:pStyle w:val="23"/>
        <w:wordWrap/>
        <w:adjustRightInd/>
        <w:snapToGrid/>
        <w:spacing w:line="240" w:lineRule="auto"/>
        <w:ind w:firstLine="420"/>
        <w:textAlignment w:val="auto"/>
        <w:rPr>
          <w:rFonts w:hint="default" w:hAnsi="宋体" w:cs="黑体"/>
          <w:kern w:val="2"/>
          <w:sz w:val="21"/>
          <w:szCs w:val="21"/>
          <w:lang w:val="en-US" w:eastAsia="zh-CN" w:bidi="ar-SA"/>
        </w:rPr>
      </w:pPr>
      <w:r>
        <w:rPr>
          <w:rFonts w:hint="eastAsia" w:hAnsi="宋体" w:cs="黑体"/>
          <w:kern w:val="2"/>
          <w:sz w:val="21"/>
          <w:szCs w:val="21"/>
          <w:lang w:val="en-US" w:eastAsia="zh-CN" w:bidi="ar-SA"/>
        </w:rPr>
        <w:t>GB 2716  食品安全国家标准 植物油</w:t>
      </w:r>
    </w:p>
    <w:p>
      <w:pPr>
        <w:pStyle w:val="23"/>
        <w:wordWrap/>
        <w:adjustRightInd/>
        <w:snapToGrid/>
        <w:spacing w:line="240" w:lineRule="auto"/>
        <w:ind w:firstLine="420"/>
        <w:textAlignment w:val="auto"/>
        <w:rPr>
          <w:rFonts w:hint="default" w:hAnsi="宋体" w:cs="黑体"/>
          <w:kern w:val="2"/>
          <w:sz w:val="21"/>
          <w:szCs w:val="21"/>
          <w:lang w:val="en-US" w:eastAsia="zh-CN" w:bidi="ar-SA"/>
        </w:rPr>
      </w:pPr>
      <w:r>
        <w:rPr>
          <w:rFonts w:hint="eastAsia" w:hAnsi="宋体" w:cs="黑体"/>
          <w:kern w:val="2"/>
          <w:sz w:val="21"/>
          <w:szCs w:val="21"/>
          <w:lang w:val="en-US" w:eastAsia="zh-CN" w:bidi="ar-SA"/>
        </w:rPr>
        <w:t>GB 3095  环境空气质量标准</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 xml:space="preserve">GB 5009.37  食用油卫生标准的分析方法 </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 5009.168  食品安全国家标准 食品中脂肪酸的测定</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 5009.227  食品安全国家标准 食品中过氧化值的测定</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 5009.229  食品安全国家标准 食品中酸价的测定</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 5009.236  食品安全国家标准 动植物油脂水分及挥发物的测定</w:t>
      </w:r>
    </w:p>
    <w:p>
      <w:pPr>
        <w:wordWrap/>
        <w:adjustRightInd/>
        <w:snapToGrid/>
        <w:spacing w:line="240" w:lineRule="auto"/>
        <w:ind w:firstLine="420" w:firstLineChars="200"/>
        <w:textAlignment w:val="auto"/>
        <w:rPr>
          <w:rFonts w:hint="default" w:ascii="宋体" w:hAnsi="宋体" w:eastAsia="宋体"/>
          <w:szCs w:val="21"/>
          <w:lang w:val="en-US" w:eastAsia="zh-CN"/>
        </w:rPr>
      </w:pPr>
      <w:r>
        <w:rPr>
          <w:rFonts w:hint="eastAsia" w:ascii="宋体" w:hAnsi="宋体" w:eastAsia="宋体"/>
          <w:szCs w:val="21"/>
          <w:lang w:val="en-US" w:eastAsia="zh-CN"/>
        </w:rPr>
        <w:t xml:space="preserve">GB 5084  农田灌溉水质标准 </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5490  粮油检验 一般规则</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5524 动植物油脂 扦样</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5525 植物油脂 透明度、气味、滋味鉴定法</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5526 植物油脂检验 比重测定法</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5527 动植物油脂 折光指数的测定</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5532 动植物油脂 碘值的测定</w:t>
      </w:r>
    </w:p>
    <w:p>
      <w:pPr>
        <w:wordWrap/>
        <w:adjustRightInd/>
        <w:snapToGrid/>
        <w:spacing w:line="240" w:lineRule="auto"/>
        <w:ind w:firstLine="420" w:firstLineChars="200"/>
        <w:textAlignment w:val="auto"/>
        <w:rPr>
          <w:rFonts w:hint="default" w:ascii="宋体" w:hAnsi="宋体" w:eastAsia="宋体"/>
          <w:szCs w:val="21"/>
          <w:lang w:val="en-US" w:eastAsia="zh-CN"/>
        </w:rPr>
      </w:pPr>
      <w:r>
        <w:rPr>
          <w:rFonts w:hint="eastAsia" w:ascii="宋体" w:hAnsi="宋体" w:eastAsia="宋体"/>
          <w:szCs w:val="21"/>
          <w:lang w:val="en-US" w:eastAsia="zh-CN"/>
        </w:rPr>
        <w:t>GB/T 5534 动植物油脂 皂化值的测定</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 7718 食品安全国家标准 预包装食品标签通则</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15688 动植物油脂 不溶性杂质含量的测定</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GB/T 17374 食用植物油销售包装</w:t>
      </w:r>
    </w:p>
    <w:p>
      <w:pPr>
        <w:wordWrap/>
        <w:adjustRightInd/>
        <w:snapToGrid/>
        <w:spacing w:line="240" w:lineRule="auto"/>
        <w:ind w:firstLine="420" w:firstLineChars="200"/>
        <w:textAlignment w:val="auto"/>
        <w:rPr>
          <w:rFonts w:hint="default" w:ascii="宋体" w:hAnsi="宋体" w:eastAsia="宋体"/>
          <w:szCs w:val="21"/>
          <w:lang w:val="en-US" w:eastAsia="zh-CN"/>
        </w:rPr>
      </w:pPr>
      <w:r>
        <w:rPr>
          <w:rFonts w:hint="eastAsia" w:ascii="宋体" w:hAnsi="宋体" w:eastAsia="宋体"/>
          <w:szCs w:val="21"/>
          <w:lang w:val="en-US" w:eastAsia="zh-CN"/>
        </w:rPr>
        <w:t>GB/T 22327 核桃油</w:t>
      </w:r>
    </w:p>
    <w:p>
      <w:pPr>
        <w:wordWrap/>
        <w:adjustRightInd/>
        <w:snapToGrid/>
        <w:spacing w:line="240" w:lineRule="auto"/>
        <w:ind w:firstLine="420" w:firstLineChars="200"/>
        <w:textAlignment w:val="auto"/>
        <w:rPr>
          <w:rFonts w:hint="eastAsia" w:ascii="宋体" w:hAnsi="宋体" w:eastAsia="宋体"/>
          <w:szCs w:val="21"/>
          <w:lang w:val="en-US" w:eastAsia="zh-CN"/>
        </w:rPr>
      </w:pPr>
      <w:r>
        <w:rPr>
          <w:rFonts w:hint="eastAsia" w:ascii="宋体" w:hAnsi="宋体" w:eastAsia="宋体"/>
          <w:szCs w:val="21"/>
          <w:lang w:val="en-US" w:eastAsia="zh-CN"/>
        </w:rPr>
        <w:t>GB 28050食品安全国家标准 预包装食品营养标签通则</w:t>
      </w:r>
    </w:p>
    <w:p>
      <w:pPr>
        <w:wordWrap/>
        <w:adjustRightInd/>
        <w:snapToGrid/>
        <w:spacing w:line="240" w:lineRule="auto"/>
        <w:ind w:firstLine="420" w:firstLineChars="200"/>
        <w:textAlignment w:val="auto"/>
        <w:rPr>
          <w:rFonts w:hint="default" w:ascii="宋体" w:hAnsi="宋体" w:eastAsia="宋体"/>
          <w:szCs w:val="21"/>
          <w:lang w:val="en-US" w:eastAsia="zh-CN"/>
        </w:rPr>
      </w:pPr>
      <w:r>
        <w:rPr>
          <w:rFonts w:hint="eastAsia" w:ascii="宋体" w:hAnsi="宋体" w:eastAsia="宋体"/>
          <w:szCs w:val="21"/>
          <w:lang w:val="en-US" w:eastAsia="zh-CN"/>
        </w:rPr>
        <w:t>GB/T 30354 食用植物油散装运输规范</w:t>
      </w:r>
    </w:p>
    <w:p>
      <w:pPr>
        <w:pStyle w:val="24"/>
        <w:numPr>
          <w:ilvl w:val="1"/>
          <w:numId w:val="0"/>
        </w:numPr>
        <w:wordWrap/>
        <w:adjustRightInd/>
        <w:snapToGrid/>
        <w:spacing w:before="157" w:beforeLines="50" w:after="157" w:afterLines="50" w:line="240" w:lineRule="auto"/>
        <w:ind w:leftChars="0"/>
        <w:textAlignment w:val="auto"/>
        <w:outlineLvl w:val="0"/>
        <w:rPr>
          <w:rFonts w:hint="eastAsia"/>
        </w:rPr>
      </w:pPr>
      <w:bookmarkStart w:id="6" w:name="_Toc3763"/>
      <w:bookmarkStart w:id="7" w:name="_Toc12224"/>
      <w:r>
        <w:rPr>
          <w:rFonts w:hint="eastAsia"/>
        </w:rPr>
        <w:t>3术语和定义</w:t>
      </w:r>
      <w:bookmarkEnd w:id="6"/>
      <w:bookmarkEnd w:id="7"/>
    </w:p>
    <w:p>
      <w:pPr>
        <w:wordWrap/>
        <w:adjustRightInd/>
        <w:snapToGrid/>
        <w:spacing w:before="157" w:beforeLines="50" w:after="157" w:afterLines="50" w:line="240" w:lineRule="auto"/>
        <w:ind w:firstLine="420" w:firstLineChars="200"/>
        <w:textAlignment w:val="auto"/>
        <w:rPr>
          <w:rFonts w:hint="eastAsia" w:ascii="宋体" w:hAnsi="宋体" w:eastAsia="宋体"/>
          <w:szCs w:val="21"/>
        </w:rPr>
      </w:pPr>
      <w:r>
        <w:rPr>
          <w:rFonts w:hint="eastAsia" w:ascii="宋体" w:hAnsi="宋体" w:eastAsia="宋体"/>
          <w:szCs w:val="21"/>
        </w:rPr>
        <w:t>下列术语和定义适用于本文件。</w:t>
      </w:r>
    </w:p>
    <w:p>
      <w:pPr>
        <w:wordWrap/>
        <w:adjustRightInd/>
        <w:snapToGrid/>
        <w:spacing w:before="157" w:beforeLines="50" w:after="157" w:afterLines="50" w:line="240" w:lineRule="auto"/>
        <w:ind w:firstLine="420" w:firstLineChars="200"/>
        <w:textAlignment w:val="auto"/>
        <w:rPr>
          <w:rFonts w:hint="default" w:ascii="宋体" w:hAnsi="宋体" w:eastAsia="宋体"/>
          <w:szCs w:val="21"/>
          <w:lang w:val="en-US" w:eastAsia="zh-CN"/>
        </w:rPr>
      </w:pPr>
      <w:r>
        <w:rPr>
          <w:rFonts w:hint="eastAsia" w:ascii="宋体" w:hAnsi="宋体" w:eastAsia="宋体"/>
          <w:szCs w:val="21"/>
          <w:lang w:val="en-US" w:eastAsia="zh-CN"/>
        </w:rPr>
        <w:t>GB/T 22327中的术语和定义适用于本文件。</w:t>
      </w:r>
    </w:p>
    <w:p>
      <w:pPr>
        <w:pStyle w:val="25"/>
        <w:numPr>
          <w:ilvl w:val="2"/>
          <w:numId w:val="0"/>
        </w:numPr>
        <w:wordWrap/>
        <w:adjustRightInd/>
        <w:snapToGrid/>
        <w:spacing w:before="157" w:beforeLines="50" w:after="157" w:afterLines="50" w:line="240" w:lineRule="auto"/>
        <w:ind w:leftChars="0"/>
        <w:textAlignment w:val="auto"/>
        <w:rPr>
          <w:rFonts w:hint="eastAsia"/>
          <w:lang w:val="en-US" w:eastAsia="zh-CN"/>
        </w:rPr>
      </w:pPr>
      <w:bookmarkStart w:id="8" w:name="_Toc14817"/>
      <w:r>
        <w:rPr>
          <w:rFonts w:hint="eastAsia" w:ascii="黑体" w:hAnsi="黑体" w:eastAsia="黑体" w:cs="黑体"/>
          <w:sz w:val="21"/>
          <w:lang w:val="en-US" w:eastAsia="zh-CN" w:bidi="ar-SA"/>
        </w:rPr>
        <w:t>3.1</w:t>
      </w:r>
      <w:bookmarkEnd w:id="8"/>
      <w:r>
        <w:rPr>
          <w:rFonts w:hint="eastAsia" w:ascii="黑体" w:hAnsi="黑体" w:eastAsia="黑体" w:cs="黑体"/>
          <w:sz w:val="21"/>
          <w:lang w:val="en-US" w:eastAsia="zh-CN" w:bidi="ar-SA"/>
        </w:rPr>
        <w:t xml:space="preserve"> </w:t>
      </w:r>
      <w:r>
        <w:rPr>
          <w:rFonts w:hint="eastAsia"/>
          <w:lang w:val="en-US" w:eastAsia="zh-CN"/>
        </w:rPr>
        <w:t xml:space="preserve"> </w:t>
      </w:r>
    </w:p>
    <w:p>
      <w:pPr>
        <w:pStyle w:val="25"/>
        <w:numPr>
          <w:ilvl w:val="2"/>
          <w:numId w:val="0"/>
        </w:numPr>
        <w:wordWrap/>
        <w:adjustRightInd/>
        <w:snapToGrid/>
        <w:spacing w:before="157" w:beforeLines="50" w:after="157" w:afterLines="50" w:line="240" w:lineRule="auto"/>
        <w:ind w:leftChars="0" w:firstLine="420" w:firstLineChars="200"/>
        <w:textAlignment w:val="auto"/>
        <w:rPr>
          <w:rFonts w:hint="eastAsia" w:ascii="Times New Roman" w:hAnsi="Times New Roman" w:eastAsia="黑体" w:cs="Times New Roman"/>
          <w:color w:val="FF0000"/>
          <w:szCs w:val="21"/>
          <w:lang w:val="en-US" w:eastAsia="zh-CN"/>
        </w:rPr>
      </w:pPr>
      <w:bookmarkStart w:id="9" w:name="_Toc19352"/>
      <w:r>
        <w:rPr>
          <w:rFonts w:hint="eastAsia" w:ascii="Times New Roman" w:hAnsi="Times New Roman" w:eastAsia="黑体" w:cs="Times New Roman"/>
          <w:szCs w:val="21"/>
          <w:lang w:eastAsia="zh-CN"/>
        </w:rPr>
        <w:t>桓仁山核桃油</w:t>
      </w:r>
      <w:r>
        <w:rPr>
          <w:rFonts w:hint="default" w:ascii="Times New Roman" w:hAnsi="Times New Roman" w:eastAsia="黑体" w:cs="Times New Roman"/>
          <w:sz w:val="21"/>
          <w:lang w:val="en-US" w:eastAsia="zh-CN" w:bidi="ar-SA"/>
        </w:rPr>
        <w:t>Huanren</w:t>
      </w:r>
      <w:r>
        <w:rPr>
          <w:rFonts w:ascii="Times New Roman" w:hAnsi="Times New Roman" w:eastAsia="黑体" w:cs="Times New Roman"/>
          <w:color w:val="auto"/>
          <w:szCs w:val="21"/>
        </w:rPr>
        <w:t xml:space="preserve"> </w:t>
      </w:r>
      <w:r>
        <w:rPr>
          <w:rFonts w:hint="eastAsia" w:ascii="Times New Roman" w:hAnsi="Times New Roman" w:eastAsia="黑体" w:cs="Times New Roman"/>
          <w:color w:val="auto"/>
          <w:szCs w:val="21"/>
          <w:lang w:val="en-US" w:eastAsia="zh-CN"/>
        </w:rPr>
        <w:t>hickory oil</w:t>
      </w:r>
      <w:bookmarkEnd w:id="9"/>
    </w:p>
    <w:p>
      <w:pPr>
        <w:pStyle w:val="23"/>
        <w:wordWrap/>
        <w:adjustRightInd/>
        <w:snapToGrid/>
        <w:spacing w:before="157" w:beforeLines="50" w:after="157" w:afterLines="50" w:line="24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在本文件第4章规定的范围内，以地理标志保护区内的</w:t>
      </w:r>
      <w:r>
        <w:rPr>
          <w:rFonts w:hint="eastAsia" w:ascii="Times New Roman" w:cs="Times New Roman"/>
          <w:lang w:val="en-US" w:eastAsia="zh-CN"/>
        </w:rPr>
        <w:t>山核桃</w:t>
      </w:r>
      <w:r>
        <w:rPr>
          <w:rFonts w:hint="default" w:ascii="Times New Roman" w:hAnsi="Times New Roman" w:eastAsia="宋体" w:cs="Times New Roman"/>
          <w:lang w:val="en-US" w:eastAsia="zh-CN"/>
        </w:rPr>
        <w:t>为原料，</w:t>
      </w:r>
      <w:r>
        <w:rPr>
          <w:rFonts w:hint="eastAsia" w:ascii="Times New Roman" w:cs="Times New Roman"/>
          <w:lang w:val="en-US" w:eastAsia="zh-CN"/>
        </w:rPr>
        <w:t>适当加工工艺生产</w:t>
      </w:r>
      <w:r>
        <w:rPr>
          <w:rFonts w:hint="default" w:ascii="Times New Roman" w:hAnsi="Times New Roman" w:eastAsia="宋体" w:cs="Times New Roman"/>
          <w:lang w:val="en-US" w:eastAsia="zh-CN"/>
        </w:rPr>
        <w:t>而成的</w:t>
      </w:r>
      <w:r>
        <w:rPr>
          <w:rFonts w:hint="eastAsia" w:ascii="Times New Roman" w:cs="Times New Roman"/>
          <w:lang w:val="en-US" w:eastAsia="zh-CN"/>
        </w:rPr>
        <w:t>山核桃油</w:t>
      </w:r>
      <w:r>
        <w:rPr>
          <w:rFonts w:hint="default" w:ascii="Times New Roman" w:hAnsi="Times New Roman" w:eastAsia="宋体" w:cs="Times New Roman"/>
          <w:lang w:val="en-US" w:eastAsia="zh-CN"/>
        </w:rPr>
        <w:t>。</w:t>
      </w:r>
    </w:p>
    <w:p>
      <w:pPr>
        <w:pStyle w:val="24"/>
        <w:numPr>
          <w:ilvl w:val="1"/>
          <w:numId w:val="0"/>
        </w:numPr>
        <w:wordWrap/>
        <w:adjustRightInd/>
        <w:snapToGrid/>
        <w:spacing w:before="157" w:beforeLines="50" w:after="157" w:afterLines="50" w:line="240" w:lineRule="auto"/>
        <w:ind w:leftChars="0"/>
        <w:textAlignment w:val="auto"/>
        <w:outlineLvl w:val="0"/>
        <w:rPr>
          <w:rFonts w:hint="eastAsia"/>
          <w:lang w:val="en-US" w:eastAsia="zh-CN"/>
        </w:rPr>
      </w:pPr>
      <w:bookmarkStart w:id="10" w:name="_Toc12868"/>
      <w:bookmarkStart w:id="11" w:name="_Toc5724"/>
      <w:r>
        <w:rPr>
          <w:rFonts w:hint="eastAsia" w:ascii="黑体" w:hAnsi="黑体" w:eastAsia="黑体" w:cs="黑体"/>
          <w:sz w:val="21"/>
          <w:lang w:val="en-US" w:eastAsia="zh-CN" w:bidi="ar-SA"/>
        </w:rPr>
        <w:t>4</w:t>
      </w:r>
      <w:r>
        <w:rPr>
          <w:rFonts w:hint="eastAsia"/>
          <w:lang w:val="en-US" w:eastAsia="zh-CN"/>
        </w:rPr>
        <w:t xml:space="preserve"> 地理标志产品保护范围</w:t>
      </w:r>
      <w:bookmarkEnd w:id="10"/>
      <w:bookmarkEnd w:id="11"/>
    </w:p>
    <w:p>
      <w:pPr>
        <w:pStyle w:val="23"/>
        <w:wordWrap/>
        <w:adjustRightInd/>
        <w:snapToGrid/>
        <w:spacing w:before="157" w:beforeLines="50" w:after="157" w:afterLines="50" w:line="240" w:lineRule="auto"/>
        <w:ind w:left="0" w:leftChars="0" w:firstLine="0" w:firstLineChars="0"/>
        <w:textAlignment w:val="auto"/>
        <w:rPr>
          <w:rFonts w:hint="default" w:ascii="Times New Roman" w:hAnsi="Times New Roman" w:eastAsia="宋体" w:cs="Times New Roman"/>
          <w:lang w:val="en-US" w:eastAsia="zh-CN"/>
        </w:rPr>
      </w:pPr>
      <w:bookmarkStart w:id="12" w:name="_Toc196816655"/>
      <w:r>
        <w:rPr>
          <w:rFonts w:hint="default" w:ascii="黑体" w:hAnsi="黑体" w:eastAsia="黑体" w:cs="黑体"/>
          <w:sz w:val="21"/>
          <w:lang w:val="en-US" w:eastAsia="zh-CN" w:bidi="ar-SA"/>
        </w:rPr>
        <w:t>4.1</w:t>
      </w:r>
      <w:r>
        <w:rPr>
          <w:rFonts w:hint="default" w:ascii="Times New Roman" w:hAnsi="Times New Roman" w:eastAsia="宋体" w:cs="Times New Roman"/>
        </w:rPr>
        <w:t xml:space="preserve">  </w:t>
      </w:r>
      <w:r>
        <w:rPr>
          <w:rFonts w:hint="default" w:ascii="Times New Roman" w:hAnsi="Times New Roman" w:eastAsia="宋体" w:cs="Times New Roman"/>
          <w:lang w:val="en-US" w:eastAsia="zh-CN"/>
        </w:rPr>
        <w:t>桓仁</w:t>
      </w:r>
      <w:r>
        <w:rPr>
          <w:rFonts w:hint="eastAsia" w:ascii="Times New Roman" w:cs="Times New Roman"/>
          <w:lang w:val="en-US" w:eastAsia="zh-CN"/>
        </w:rPr>
        <w:t>山核桃油</w:t>
      </w:r>
      <w:r>
        <w:rPr>
          <w:rFonts w:hint="default" w:ascii="Times New Roman" w:hAnsi="Times New Roman" w:eastAsia="宋体" w:cs="Times New Roman"/>
          <w:lang w:val="en-US" w:eastAsia="zh-CN"/>
        </w:rPr>
        <w:t>地理标志产品保护范围限于国家市场监督管理总局根据《地理标志产品保护规定》批准的范围。地理标志保护区地图见附录A。</w:t>
      </w:r>
    </w:p>
    <w:p>
      <w:pPr>
        <w:pStyle w:val="23"/>
        <w:wordWrap/>
        <w:adjustRightInd/>
        <w:snapToGrid/>
        <w:spacing w:before="157" w:beforeLines="50" w:after="157" w:afterLines="50" w:line="240" w:lineRule="auto"/>
        <w:ind w:left="0" w:leftChars="0" w:firstLine="0" w:firstLineChars="0"/>
        <w:textAlignment w:val="auto"/>
        <w:rPr>
          <w:rFonts w:hint="eastAsia" w:ascii="Times New Roman" w:hAnsi="Times New Roman" w:eastAsia="黑体" w:cs="Times New Roman"/>
          <w:color w:val="auto"/>
          <w:szCs w:val="21"/>
          <w:lang w:val="en-US" w:eastAsia="zh-CN"/>
        </w:rPr>
      </w:pPr>
      <w:r>
        <w:rPr>
          <w:rFonts w:hint="default" w:ascii="黑体" w:hAnsi="黑体" w:eastAsia="黑体" w:cs="黑体"/>
          <w:sz w:val="21"/>
          <w:lang w:val="en-US" w:eastAsia="zh-CN" w:bidi="ar-SA"/>
        </w:rPr>
        <w:t xml:space="preserve">4.2 </w:t>
      </w:r>
      <w:r>
        <w:rPr>
          <w:rFonts w:hint="default" w:ascii="Times New Roman" w:hAnsi="Times New Roman" w:eastAsia="宋体" w:cs="Times New Roman"/>
          <w:lang w:val="en-US" w:eastAsia="zh-CN"/>
        </w:rPr>
        <w:t xml:space="preserve"> 桓仁</w:t>
      </w:r>
      <w:r>
        <w:rPr>
          <w:rFonts w:hint="eastAsia" w:ascii="Times New Roman" w:cs="Times New Roman"/>
          <w:lang w:val="en-US" w:eastAsia="zh-CN"/>
        </w:rPr>
        <w:t>山核桃油</w:t>
      </w:r>
      <w:r>
        <w:rPr>
          <w:rFonts w:hint="default" w:ascii="Times New Roman" w:hAnsi="Times New Roman" w:eastAsia="宋体" w:cs="Times New Roman"/>
          <w:lang w:val="en-US" w:eastAsia="zh-CN"/>
        </w:rPr>
        <w:t>地理标志产品保护范围面积为3547km2,即：东与吉林省通化县、集安市为邻，西靠本溪县，北与新宾县相连，南与宽甸县接壤。地理位置在北纬40°54′～41°32′,东经124°27′～125°40′。</w:t>
      </w:r>
      <w:bookmarkEnd w:id="12"/>
    </w:p>
    <w:p>
      <w:pPr>
        <w:pStyle w:val="24"/>
        <w:numPr>
          <w:ilvl w:val="1"/>
          <w:numId w:val="0"/>
        </w:numPr>
        <w:wordWrap/>
        <w:adjustRightInd/>
        <w:snapToGrid/>
        <w:spacing w:before="157" w:beforeLines="50" w:after="157" w:afterLines="50" w:line="240" w:lineRule="auto"/>
        <w:ind w:leftChars="0"/>
        <w:textAlignment w:val="auto"/>
        <w:rPr>
          <w:rFonts w:hint="default"/>
          <w:lang w:val="en-US" w:eastAsia="zh-CN"/>
        </w:rPr>
      </w:pPr>
      <w:bookmarkStart w:id="13" w:name="_Toc18759"/>
      <w:r>
        <w:rPr>
          <w:rFonts w:hint="eastAsia"/>
          <w:lang w:val="en-US" w:eastAsia="zh-CN"/>
        </w:rPr>
        <w:t>5  要求</w:t>
      </w:r>
      <w:bookmarkEnd w:id="13"/>
    </w:p>
    <w:p>
      <w:pPr>
        <w:pStyle w:val="25"/>
        <w:numPr>
          <w:ilvl w:val="2"/>
          <w:numId w:val="0"/>
        </w:numPr>
        <w:wordWrap/>
        <w:adjustRightInd/>
        <w:snapToGrid/>
        <w:spacing w:before="157" w:beforeLines="50" w:after="157" w:afterLines="50" w:line="240" w:lineRule="auto"/>
        <w:ind w:leftChars="0"/>
        <w:jc w:val="both"/>
        <w:textAlignment w:val="auto"/>
        <w:rPr>
          <w:rFonts w:hint="default" w:ascii="Times New Roman" w:hAnsi="Times New Roman" w:cs="Times New Roman"/>
        </w:rPr>
      </w:pPr>
      <w:bookmarkStart w:id="14" w:name="_Toc32271"/>
      <w:r>
        <w:rPr>
          <w:rFonts w:hint="eastAsia" w:ascii="黑体" w:hAnsi="黑体" w:eastAsia="黑体" w:cs="黑体"/>
          <w:sz w:val="21"/>
          <w:lang w:val="en-US" w:eastAsia="zh-CN" w:bidi="ar-SA"/>
        </w:rPr>
        <w:t xml:space="preserve">5.1 </w:t>
      </w:r>
      <w:r>
        <w:rPr>
          <w:rFonts w:hint="eastAsia" w:cs="Times New Roman"/>
          <w:lang w:val="en-US" w:eastAsia="zh-CN"/>
        </w:rPr>
        <w:t xml:space="preserve"> </w:t>
      </w:r>
      <w:r>
        <w:rPr>
          <w:rFonts w:hint="default" w:ascii="Times New Roman" w:hAnsi="Times New Roman" w:cs="Times New Roman"/>
        </w:rPr>
        <w:t>自然环境</w:t>
      </w:r>
      <w:bookmarkEnd w:id="14"/>
    </w:p>
    <w:p>
      <w:pPr>
        <w:pStyle w:val="23"/>
        <w:wordWrap/>
        <w:adjustRightInd/>
        <w:snapToGrid/>
        <w:spacing w:before="157" w:beforeLines="50" w:after="157" w:afterLines="50" w:line="24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桓仁大米地理标志产品保护区域位于辽宁省东部山区，森林覆盖率达76.6%。气候四季分明，水稻生长季节雨水、热量资源丰富，雨热同季，日照充足，属于中温带大陆性湿润季风气候。</w:t>
      </w:r>
    </w:p>
    <w:p>
      <w:pPr>
        <w:pStyle w:val="23"/>
        <w:wordWrap/>
        <w:adjustRightInd/>
        <w:snapToGrid/>
        <w:spacing w:before="157" w:beforeLines="50" w:after="157" w:afterLines="50" w:line="240" w:lineRule="auto"/>
        <w:ind w:firstLine="0" w:firstLineChars="0"/>
        <w:textAlignment w:val="auto"/>
        <w:rPr>
          <w:rFonts w:hint="default" w:ascii="Times New Roman" w:hAnsi="Times New Roman" w:eastAsia="黑体" w:cs="Times New Roman"/>
        </w:rPr>
      </w:pPr>
      <w:r>
        <w:rPr>
          <w:rFonts w:hint="default" w:ascii="黑体" w:hAnsi="黑体" w:eastAsia="黑体" w:cs="黑体"/>
          <w:sz w:val="21"/>
          <w:lang w:val="en-US" w:eastAsia="zh-CN" w:bidi="ar-SA"/>
        </w:rPr>
        <w:t xml:space="preserve">5.1.1 </w:t>
      </w:r>
      <w:r>
        <w:rPr>
          <w:rFonts w:hint="default" w:ascii="Times New Roman" w:hAnsi="Times New Roman" w:eastAsia="黑体" w:cs="Times New Roman"/>
        </w:rPr>
        <w:t xml:space="preserve"> 日照</w:t>
      </w:r>
    </w:p>
    <w:p>
      <w:pPr>
        <w:pStyle w:val="23"/>
        <w:wordWrap/>
        <w:adjustRightInd/>
        <w:snapToGrid/>
        <w:spacing w:before="157" w:beforeLines="50" w:after="157" w:afterLines="50" w:line="24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年平均日照时数为2369.4h，水稻</w:t>
      </w:r>
      <w:r>
        <w:rPr>
          <w:rFonts w:hint="default" w:ascii="Times New Roman" w:hAnsi="Times New Roman" w:eastAsia="宋体" w:cs="Times New Roman"/>
          <w:lang w:eastAsia="zh-CN"/>
        </w:rPr>
        <w:t>生长季节</w:t>
      </w:r>
      <w:r>
        <w:rPr>
          <w:rFonts w:hint="default" w:ascii="Times New Roman" w:hAnsi="Times New Roman" w:eastAsia="宋体" w:cs="Times New Roman"/>
        </w:rPr>
        <w:t>平均日照时数为1259h。</w:t>
      </w:r>
    </w:p>
    <w:p>
      <w:pPr>
        <w:pStyle w:val="23"/>
        <w:wordWrap/>
        <w:adjustRightInd/>
        <w:snapToGrid/>
        <w:spacing w:before="157" w:beforeLines="50" w:after="157" w:afterLines="50" w:line="240" w:lineRule="auto"/>
        <w:ind w:firstLine="0" w:firstLineChars="0"/>
        <w:textAlignment w:val="auto"/>
        <w:rPr>
          <w:rFonts w:hint="default" w:ascii="Times New Roman" w:hAnsi="Times New Roman" w:eastAsia="黑体" w:cs="Times New Roman"/>
        </w:rPr>
      </w:pPr>
      <w:r>
        <w:rPr>
          <w:rFonts w:hint="default" w:ascii="黑体" w:hAnsi="黑体" w:eastAsia="黑体" w:cs="黑体"/>
          <w:sz w:val="21"/>
          <w:lang w:val="en-US" w:eastAsia="zh-CN" w:bidi="ar-SA"/>
        </w:rPr>
        <w:t>5.1.2</w:t>
      </w:r>
      <w:r>
        <w:rPr>
          <w:rFonts w:hint="default" w:ascii="Times New Roman" w:hAnsi="Times New Roman" w:eastAsia="黑体" w:cs="Times New Roman"/>
        </w:rPr>
        <w:t xml:space="preserve">  气温</w:t>
      </w:r>
    </w:p>
    <w:p>
      <w:pPr>
        <w:wordWrap/>
        <w:adjustRightInd/>
        <w:snapToGrid/>
        <w:spacing w:before="157" w:beforeLines="50" w:after="157" w:afterLines="50" w:line="240" w:lineRule="auto"/>
        <w:ind w:firstLine="420" w:firstLineChars="200"/>
        <w:textAlignment w:val="auto"/>
        <w:rPr>
          <w:rFonts w:hint="default" w:ascii="Times New Roman" w:hAnsi="Times New Roman" w:cs="Times New Roman"/>
        </w:rPr>
      </w:pPr>
      <w:r>
        <w:rPr>
          <w:rFonts w:hint="default" w:ascii="Times New Roman" w:hAnsi="Times New Roman" w:eastAsia="宋体" w:cs="Times New Roman"/>
          <w:kern w:val="0"/>
          <w:sz w:val="21"/>
          <w:szCs w:val="20"/>
          <w:lang w:bidi="ar-SA"/>
        </w:rPr>
        <w:t>年</w:t>
      </w:r>
      <w:r>
        <w:rPr>
          <w:rFonts w:hint="default" w:ascii="Times New Roman" w:hAnsi="Times New Roman" w:eastAsia="宋体" w:cs="Times New Roman"/>
          <w:kern w:val="0"/>
          <w:sz w:val="21"/>
          <w:szCs w:val="20"/>
          <w:lang w:val="en-US" w:eastAsia="zh-CN" w:bidi="ar-SA"/>
        </w:rPr>
        <w:t>平均气温6.5℃，年平均活动积温3015.5℃，年平均无霜期145天。夏季短，气温高，秋季昼夜温差较大。</w:t>
      </w:r>
    </w:p>
    <w:p>
      <w:pPr>
        <w:pStyle w:val="26"/>
        <w:numPr>
          <w:ilvl w:val="3"/>
          <w:numId w:val="0"/>
        </w:numPr>
        <w:wordWrap/>
        <w:adjustRightInd/>
        <w:snapToGrid/>
        <w:spacing w:before="157" w:beforeLines="50" w:after="157" w:afterLines="50" w:line="240" w:lineRule="auto"/>
        <w:textAlignment w:val="auto"/>
        <w:rPr>
          <w:rFonts w:hint="default" w:ascii="Times New Roman" w:hAnsi="Times New Roman" w:cs="Times New Roman"/>
        </w:rPr>
      </w:pPr>
      <w:r>
        <w:rPr>
          <w:rFonts w:hint="default" w:ascii="黑体" w:hAnsi="黑体" w:eastAsia="黑体" w:cs="黑体"/>
          <w:sz w:val="21"/>
          <w:lang w:val="en-US" w:eastAsia="zh-CN" w:bidi="ar-SA"/>
        </w:rPr>
        <w:t xml:space="preserve">5.1.3 </w:t>
      </w:r>
      <w:r>
        <w:rPr>
          <w:rFonts w:hint="default" w:ascii="Times New Roman" w:hAnsi="Times New Roman" w:cs="Times New Roman"/>
        </w:rPr>
        <w:t xml:space="preserve"> 降水</w:t>
      </w:r>
    </w:p>
    <w:p>
      <w:pPr>
        <w:wordWrap/>
        <w:adjustRightInd/>
        <w:snapToGrid/>
        <w:spacing w:before="157" w:beforeLines="50" w:after="157" w:afterLines="50" w:line="240" w:lineRule="auto"/>
        <w:ind w:firstLine="420" w:firstLineChars="200"/>
        <w:textAlignment w:val="auto"/>
        <w:rPr>
          <w:rFonts w:hint="default" w:ascii="Times New Roman" w:hAnsi="Times New Roman" w:eastAsia="宋体" w:cs="Times New Roman"/>
          <w:kern w:val="0"/>
          <w:sz w:val="21"/>
          <w:szCs w:val="20"/>
          <w:highlight w:val="none"/>
          <w:lang w:eastAsia="zh-CN" w:bidi="ar-SA"/>
        </w:rPr>
      </w:pPr>
      <w:r>
        <w:rPr>
          <w:rFonts w:hint="default" w:ascii="Times New Roman" w:hAnsi="Times New Roman" w:eastAsia="宋体" w:cs="Times New Roman"/>
          <w:kern w:val="0"/>
          <w:sz w:val="21"/>
          <w:szCs w:val="20"/>
          <w:highlight w:val="none"/>
          <w:lang w:bidi="ar-SA"/>
        </w:rPr>
        <w:t>年平均降水量856mm，水稻生长季节平均降水量551.2mm。</w:t>
      </w:r>
    </w:p>
    <w:p>
      <w:pPr>
        <w:pStyle w:val="26"/>
        <w:numPr>
          <w:ilvl w:val="3"/>
          <w:numId w:val="0"/>
        </w:numPr>
        <w:wordWrap/>
        <w:adjustRightInd/>
        <w:snapToGrid/>
        <w:spacing w:before="157" w:beforeLines="50" w:after="157" w:afterLines="50" w:line="240" w:lineRule="auto"/>
        <w:textAlignment w:val="auto"/>
        <w:rPr>
          <w:rFonts w:hint="default" w:ascii="Times New Roman" w:hAnsi="Times New Roman" w:eastAsia="黑体" w:cs="Times New Roman"/>
          <w:lang w:val="en-US" w:eastAsia="zh-CN"/>
        </w:rPr>
      </w:pPr>
      <w:r>
        <w:rPr>
          <w:rFonts w:hint="default" w:ascii="黑体" w:hAnsi="黑体" w:eastAsia="黑体" w:cs="黑体"/>
          <w:sz w:val="21"/>
          <w:lang w:val="en-US" w:eastAsia="zh-CN" w:bidi="ar-SA"/>
        </w:rPr>
        <w:t xml:space="preserve">5.1.4 </w:t>
      </w:r>
      <w:r>
        <w:rPr>
          <w:rFonts w:hint="default" w:ascii="Times New Roman" w:hAnsi="Times New Roman" w:cs="Times New Roman"/>
        </w:rPr>
        <w:t xml:space="preserve"> 土壤</w:t>
      </w:r>
    </w:p>
    <w:p>
      <w:pPr>
        <w:pStyle w:val="25"/>
        <w:numPr>
          <w:ilvl w:val="2"/>
          <w:numId w:val="0"/>
        </w:numPr>
        <w:wordWrap/>
        <w:adjustRightInd/>
        <w:snapToGrid/>
        <w:spacing w:before="157" w:beforeLines="50" w:after="157" w:afterLines="50" w:line="240" w:lineRule="auto"/>
        <w:ind w:firstLine="420" w:firstLineChars="200"/>
        <w:jc w:val="both"/>
        <w:textAlignment w:val="auto"/>
        <w:rPr>
          <w:rFonts w:hint="default" w:ascii="Times New Roman" w:hAnsi="Times New Roman" w:eastAsia="宋体" w:cs="Times New Roman"/>
        </w:rPr>
      </w:pPr>
      <w:bookmarkStart w:id="15" w:name="_Toc8592"/>
      <w:r>
        <w:rPr>
          <w:rFonts w:hint="default" w:ascii="Times New Roman" w:hAnsi="Times New Roman" w:eastAsia="宋体" w:cs="Times New Roman"/>
          <w:kern w:val="0"/>
          <w:sz w:val="21"/>
          <w:szCs w:val="20"/>
          <w:lang w:val="en-US" w:eastAsia="zh-CN" w:bidi="ar-SA"/>
        </w:rPr>
        <w:t>桓仁大米地理标志产品保护区域</w:t>
      </w:r>
      <w:r>
        <w:rPr>
          <w:rFonts w:hint="default" w:ascii="Times New Roman" w:hAnsi="Times New Roman" w:eastAsia="宋体" w:cs="Times New Roman"/>
          <w:kern w:val="0"/>
          <w:sz w:val="21"/>
          <w:szCs w:val="20"/>
          <w:lang w:bidi="ar-SA"/>
        </w:rPr>
        <w:t>为中性偏酸土壤，土壤类型为水稻土、草甸土、沼泽土，耕层土壤pH值5.6-6.0，有机质含量≥2.5%，碱解氮平均含量130mg/kg，有效磷平均含量30mg/kg，速效钾平均含量72.2mg/kg。</w:t>
      </w:r>
      <w:bookmarkEnd w:id="15"/>
      <w:r>
        <w:rPr>
          <w:rFonts w:hint="default" w:ascii="Times New Roman" w:hAnsi="Times New Roman" w:eastAsia="宋体" w:cs="Times New Roman"/>
          <w:kern w:val="0"/>
          <w:sz w:val="21"/>
          <w:szCs w:val="20"/>
          <w:lang w:val="en-US" w:eastAsia="zh-CN" w:bidi="ar-SA"/>
        </w:rPr>
        <w:t xml:space="preserve"> </w:t>
      </w:r>
    </w:p>
    <w:p>
      <w:pPr>
        <w:pStyle w:val="23"/>
        <w:wordWrap/>
        <w:adjustRightInd/>
        <w:snapToGrid/>
        <w:spacing w:before="157" w:beforeLines="50" w:after="157" w:afterLines="50" w:line="240" w:lineRule="auto"/>
        <w:ind w:firstLine="0" w:firstLineChars="0"/>
        <w:textAlignment w:val="auto"/>
        <w:rPr>
          <w:rFonts w:hint="default" w:ascii="Times New Roman" w:hAnsi="Times New Roman" w:eastAsia="黑体" w:cs="Times New Roman"/>
        </w:rPr>
      </w:pPr>
      <w:r>
        <w:rPr>
          <w:rFonts w:hint="default" w:ascii="黑体" w:hAnsi="黑体" w:eastAsia="黑体" w:cs="黑体"/>
        </w:rPr>
        <w:t xml:space="preserve">5.1.5 </w:t>
      </w:r>
      <w:r>
        <w:rPr>
          <w:rFonts w:hint="default" w:ascii="Times New Roman" w:hAnsi="Times New Roman" w:eastAsia="黑体" w:cs="Times New Roman"/>
        </w:rPr>
        <w:t xml:space="preserve"> 水源</w:t>
      </w:r>
    </w:p>
    <w:p>
      <w:pPr>
        <w:pStyle w:val="23"/>
        <w:wordWrap/>
        <w:adjustRightInd/>
        <w:snapToGrid/>
        <w:spacing w:before="157" w:beforeLines="50" w:after="157" w:afterLines="50" w:line="240" w:lineRule="auto"/>
        <w:ind w:firstLine="420" w:firstLineChars="0"/>
        <w:textAlignment w:val="auto"/>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本区域水稻灌溉用水以桓龙湖、富尔江、大雅河等山涧泉为水源，水质符合GB 5084规定。</w:t>
      </w:r>
    </w:p>
    <w:p>
      <w:pPr>
        <w:pStyle w:val="23"/>
        <w:wordWrap/>
        <w:adjustRightInd/>
        <w:snapToGrid/>
        <w:spacing w:before="157" w:beforeLines="50" w:after="157" w:afterLines="50" w:line="240" w:lineRule="auto"/>
        <w:ind w:firstLine="0" w:firstLineChars="0"/>
        <w:textAlignment w:val="auto"/>
        <w:rPr>
          <w:rFonts w:hint="default" w:ascii="Times New Roman" w:hAnsi="Times New Roman" w:eastAsia="黑体" w:cs="Times New Roman"/>
        </w:rPr>
      </w:pPr>
      <w:r>
        <w:rPr>
          <w:rFonts w:hint="eastAsia" w:ascii="黑体" w:hAnsi="黑体" w:eastAsia="黑体" w:cs="黑体"/>
        </w:rPr>
        <w:t>5.1.6</w:t>
      </w:r>
      <w:r>
        <w:rPr>
          <w:rFonts w:hint="default" w:ascii="Times New Roman" w:hAnsi="Times New Roman" w:eastAsia="黑体" w:cs="Times New Roman"/>
        </w:rPr>
        <w:t xml:space="preserve">  大气</w:t>
      </w:r>
    </w:p>
    <w:p>
      <w:pPr>
        <w:pStyle w:val="23"/>
        <w:wordWrap/>
        <w:adjustRightInd/>
        <w:snapToGrid/>
        <w:spacing w:before="157" w:beforeLines="50" w:after="157" w:afterLines="50" w:line="240" w:lineRule="auto"/>
        <w:ind w:firstLine="420" w:firstLineChars="0"/>
        <w:textAlignment w:val="auto"/>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本区域大气应符合GB 3095规定。</w:t>
      </w:r>
    </w:p>
    <w:p>
      <w:pPr>
        <w:pStyle w:val="25"/>
        <w:numPr>
          <w:ilvl w:val="2"/>
          <w:numId w:val="0"/>
        </w:numPr>
        <w:wordWrap/>
        <w:adjustRightInd/>
        <w:snapToGrid/>
        <w:spacing w:before="157" w:beforeLines="50" w:after="157" w:afterLines="50" w:line="240" w:lineRule="auto"/>
        <w:ind w:leftChars="0"/>
        <w:jc w:val="both"/>
        <w:textAlignment w:val="auto"/>
        <w:rPr>
          <w:rFonts w:hint="eastAsia" w:cs="Times New Roman"/>
          <w:lang w:val="en-US" w:eastAsia="zh-CN"/>
        </w:rPr>
      </w:pPr>
      <w:bookmarkStart w:id="16" w:name="_Toc12852"/>
      <w:r>
        <w:rPr>
          <w:rFonts w:hint="eastAsia" w:ascii="黑体" w:hAnsi="黑体" w:eastAsia="黑体" w:cs="黑体"/>
          <w:lang w:val="en-US" w:eastAsia="zh-CN"/>
        </w:rPr>
        <w:t>5.2</w:t>
      </w:r>
      <w:r>
        <w:rPr>
          <w:rFonts w:hint="eastAsia" w:cs="Times New Roman"/>
          <w:lang w:val="en-US" w:eastAsia="zh-CN"/>
        </w:rPr>
        <w:t xml:space="preserve">  原料要求</w:t>
      </w:r>
      <w:bookmarkEnd w:id="16"/>
    </w:p>
    <w:p>
      <w:pPr>
        <w:wordWrap/>
        <w:adjustRightInd/>
        <w:snapToGrid/>
        <w:spacing w:before="157" w:beforeLines="50" w:after="157" w:afterLines="50" w:line="240" w:lineRule="auto"/>
        <w:ind w:firstLine="420" w:firstLineChars="200"/>
        <w:textAlignment w:val="auto"/>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应采用本文件第4章规定的地理范围内，自然成熟落地核桃楸。</w:t>
      </w:r>
    </w:p>
    <w:p>
      <w:pPr>
        <w:pStyle w:val="25"/>
        <w:numPr>
          <w:ilvl w:val="2"/>
          <w:numId w:val="0"/>
        </w:numPr>
        <w:wordWrap/>
        <w:adjustRightInd/>
        <w:snapToGrid/>
        <w:spacing w:before="157" w:beforeLines="50" w:after="157" w:afterLines="50" w:line="240" w:lineRule="auto"/>
        <w:ind w:leftChars="0"/>
        <w:jc w:val="both"/>
        <w:textAlignment w:val="auto"/>
        <w:rPr>
          <w:rFonts w:hint="eastAsia" w:cs="Times New Roman"/>
          <w:lang w:val="en-US" w:eastAsia="zh-CN"/>
        </w:rPr>
      </w:pPr>
      <w:bookmarkStart w:id="17" w:name="_Toc3266"/>
      <w:r>
        <w:rPr>
          <w:rFonts w:hint="eastAsia" w:ascii="黑体" w:hAnsi="黑体" w:eastAsia="黑体" w:cs="黑体"/>
          <w:lang w:val="en-US" w:eastAsia="zh-CN"/>
        </w:rPr>
        <w:t>5.3</w:t>
      </w:r>
      <w:r>
        <w:rPr>
          <w:rFonts w:hint="eastAsia" w:cs="Times New Roman"/>
          <w:lang w:val="en-US" w:eastAsia="zh-CN"/>
        </w:rPr>
        <w:t xml:space="preserve">  质量要求</w:t>
      </w:r>
      <w:bookmarkEnd w:id="17"/>
    </w:p>
    <w:p>
      <w:pPr>
        <w:pStyle w:val="26"/>
        <w:numPr>
          <w:ilvl w:val="3"/>
          <w:numId w:val="0"/>
        </w:numPr>
        <w:wordWrap/>
        <w:adjustRightInd/>
        <w:snapToGrid/>
        <w:spacing w:before="157" w:beforeLines="50" w:after="157" w:afterLines="50" w:line="240" w:lineRule="auto"/>
        <w:ind w:leftChars="0"/>
        <w:textAlignment w:val="auto"/>
        <w:rPr>
          <w:rFonts w:hint="eastAsia"/>
          <w:lang w:val="en-US" w:eastAsia="zh-CN"/>
        </w:rPr>
      </w:pPr>
      <w:r>
        <w:rPr>
          <w:rFonts w:hint="eastAsia" w:ascii="黑体" w:hAnsi="黑体" w:eastAsia="黑体" w:cs="黑体"/>
          <w:lang w:val="en-US" w:eastAsia="zh-CN"/>
        </w:rPr>
        <w:t>5.3.1</w:t>
      </w:r>
      <w:r>
        <w:rPr>
          <w:rFonts w:hint="eastAsia"/>
          <w:lang w:val="en-US" w:eastAsia="zh-CN"/>
        </w:rPr>
        <w:t xml:space="preserve"> 特征指标</w:t>
      </w:r>
    </w:p>
    <w:p>
      <w:pPr>
        <w:wordWrap/>
        <w:adjustRightInd/>
        <w:snapToGrid/>
        <w:spacing w:before="157" w:beforeLines="50" w:after="157" w:afterLines="50" w:line="240" w:lineRule="auto"/>
        <w:ind w:firstLine="420" w:firstLineChars="200"/>
        <w:textAlignment w:val="auto"/>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应符合标1要求。</w:t>
      </w:r>
    </w:p>
    <w:p>
      <w:pPr>
        <w:wordWrap/>
        <w:adjustRightInd/>
        <w:snapToGrid/>
        <w:spacing w:before="157" w:beforeLines="50" w:after="157" w:afterLines="50" w:line="240" w:lineRule="auto"/>
        <w:ind w:firstLine="2520" w:firstLineChars="1200"/>
        <w:textAlignment w:val="auto"/>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表1 桓仁山核桃油的特征指标</w:t>
      </w:r>
    </w:p>
    <w:tbl>
      <w:tblPr>
        <w:tblStyle w:val="15"/>
        <w:tblpPr w:leftFromText="180" w:rightFromText="180" w:vertAnchor="text" w:horzAnchor="page" w:tblpX="1149" w:tblpY="331"/>
        <w:tblOverlap w:val="never"/>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615" w:type="dxa"/>
            <w:vAlign w:val="center"/>
          </w:tcPr>
          <w:p>
            <w:pPr>
              <w:wordWrap/>
              <w:adjustRightInd/>
              <w:snapToGrid/>
              <w:spacing w:before="157" w:beforeLines="50" w:after="157" w:afterLines="50" w:line="240" w:lineRule="auto"/>
              <w:ind w:firstLine="420" w:firstLineChars="200"/>
              <w:jc w:val="center"/>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项目</w:t>
            </w:r>
          </w:p>
        </w:tc>
        <w:tc>
          <w:tcPr>
            <w:tcW w:w="4785" w:type="dxa"/>
            <w:vAlign w:val="center"/>
          </w:tcPr>
          <w:p>
            <w:pPr>
              <w:wordWrap/>
              <w:adjustRightInd/>
              <w:snapToGrid/>
              <w:spacing w:before="157" w:beforeLines="50" w:after="157" w:afterLines="50" w:line="240" w:lineRule="auto"/>
              <w:ind w:firstLine="420" w:firstLineChars="200"/>
              <w:jc w:val="center"/>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质量指标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折光指数（n20）</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1.467～1.482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相对密度（d20）</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0.902～0.936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碘值（以I2计）/（g/100g）</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140～174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皂化值（以KOH计）/（mg/g）</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183～197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主要脂肪酸组成/%</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 xml:space="preserve">棕榈酸                          C16:0              </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2.2～8.0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 xml:space="preserve">硬脂酸                          C18:0              </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 xml:space="preserve">油酸                            C18:1                </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11.5～35.0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pPr>
              <w:wordWrap/>
              <w:adjustRightInd/>
              <w:snapToGrid/>
              <w:spacing w:before="157" w:beforeLines="50" w:after="157" w:afterLines="50" w:line="240" w:lineRule="auto"/>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 xml:space="preserve">亚油酸                          C18:2              </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50.0～70.0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5" w:type="dxa"/>
            <w:vAlign w:val="center"/>
          </w:tcPr>
          <w:p>
            <w:pPr>
              <w:wordWrap/>
              <w:adjustRightInd/>
              <w:snapToGrid/>
              <w:spacing w:before="157" w:beforeLines="50" w:after="157" w:afterLines="50" w:line="240" w:lineRule="auto"/>
              <w:jc w:val="left"/>
              <w:textAlignment w:val="auto"/>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α</w:t>
            </w:r>
            <w:r>
              <w:rPr>
                <w:rFonts w:hint="eastAsia" w:ascii="Times New Roman" w:hAnsi="Times New Roman" w:eastAsia="宋体" w:cs="Times New Roman"/>
                <w:kern w:val="0"/>
                <w:sz w:val="21"/>
                <w:szCs w:val="20"/>
                <w:lang w:val="en-US" w:eastAsia="zh-CN" w:bidi="ar-SA"/>
              </w:rPr>
              <w:t xml:space="preserve">-亚麻酸                       C18:3                     </w:t>
            </w:r>
          </w:p>
        </w:tc>
        <w:tc>
          <w:tcPr>
            <w:tcW w:w="4785" w:type="dxa"/>
            <w:vAlign w:val="center"/>
          </w:tcPr>
          <w:p>
            <w:pPr>
              <w:wordWrap/>
              <w:adjustRightInd/>
              <w:snapToGrid/>
              <w:spacing w:before="157" w:beforeLines="50" w:after="157" w:afterLines="50" w:line="240" w:lineRule="auto"/>
              <w:ind w:firstLine="420" w:firstLineChars="200"/>
              <w:jc w:val="left"/>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5.5～18.0</w:t>
            </w:r>
          </w:p>
        </w:tc>
      </w:tr>
    </w:tbl>
    <w:p>
      <w:pPr>
        <w:wordWrap/>
        <w:adjustRightInd/>
        <w:snapToGrid/>
        <w:spacing w:before="157" w:beforeLines="50" w:after="157" w:afterLines="50" w:line="240" w:lineRule="auto"/>
        <w:ind w:firstLine="420" w:firstLineChars="200"/>
        <w:textAlignment w:val="auto"/>
        <w:rPr>
          <w:rFonts w:hint="eastAsia" w:ascii="Times New Roman" w:hAnsi="Times New Roman" w:eastAsia="黑体" w:cs="Times New Roman"/>
          <w:color w:val="auto"/>
          <w:szCs w:val="21"/>
          <w:lang w:val="en-US" w:eastAsia="zh-CN"/>
        </w:rPr>
      </w:pPr>
    </w:p>
    <w:p>
      <w:pPr>
        <w:pStyle w:val="26"/>
        <w:numPr>
          <w:ilvl w:val="3"/>
          <w:numId w:val="0"/>
        </w:numPr>
        <w:wordWrap/>
        <w:adjustRightInd/>
        <w:snapToGrid/>
        <w:spacing w:before="157" w:beforeLines="50" w:after="157" w:afterLines="50" w:line="240" w:lineRule="auto"/>
        <w:ind w:leftChars="0"/>
        <w:textAlignment w:val="auto"/>
        <w:rPr>
          <w:rFonts w:hint="eastAsia" w:ascii="黑体" w:hAnsi="黑体" w:eastAsia="黑体" w:cs="黑体"/>
          <w:lang w:val="en-US" w:eastAsia="zh-CN"/>
        </w:rPr>
      </w:pPr>
      <w:r>
        <w:rPr>
          <w:rFonts w:hint="eastAsia" w:ascii="黑体" w:hAnsi="黑体" w:eastAsia="黑体" w:cs="黑体"/>
          <w:lang w:val="en-US" w:eastAsia="zh-CN"/>
        </w:rPr>
        <w:t>5.3.2质量指标</w:t>
      </w:r>
    </w:p>
    <w:p>
      <w:pPr>
        <w:wordWrap/>
        <w:adjustRightInd/>
        <w:snapToGrid/>
        <w:spacing w:before="157" w:beforeLines="50" w:after="157" w:afterLines="50" w:line="240" w:lineRule="auto"/>
        <w:ind w:firstLine="420" w:firstLineChars="200"/>
        <w:textAlignment w:val="auto"/>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应符合表2的要求</w:t>
      </w:r>
    </w:p>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表2  地理标志产品  桓仁山核桃油的质量指标</w:t>
      </w:r>
    </w:p>
    <w:tbl>
      <w:tblPr>
        <w:tblStyle w:val="15"/>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1595"/>
        <w:gridCol w:w="159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vMerge w:val="restart"/>
            <w:vAlign w:val="center"/>
          </w:tcPr>
          <w:p>
            <w:pPr>
              <w:wordWrap/>
              <w:adjustRightInd/>
              <w:snapToGrid/>
              <w:spacing w:before="157" w:beforeLines="50" w:after="157" w:afterLines="50" w:line="240" w:lineRule="auto"/>
              <w:ind w:firstLine="420" w:firstLineChars="200"/>
              <w:jc w:val="center"/>
              <w:textAlignment w:val="auto"/>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项 目</w:t>
            </w:r>
          </w:p>
        </w:tc>
        <w:tc>
          <w:tcPr>
            <w:tcW w:w="4785" w:type="dxa"/>
            <w:gridSpan w:val="3"/>
            <w:vAlign w:val="top"/>
          </w:tcPr>
          <w:p>
            <w:pPr>
              <w:wordWrap/>
              <w:adjustRightInd/>
              <w:snapToGrid/>
              <w:spacing w:before="157" w:beforeLines="50" w:after="157" w:afterLines="50" w:line="240" w:lineRule="auto"/>
              <w:ind w:firstLine="420" w:firstLineChars="200"/>
              <w:jc w:val="center"/>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质 量 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vMerge w:val="continue"/>
            <w:vAlign w:val="top"/>
          </w:tcPr>
          <w:p>
            <w:pPr>
              <w:wordWrap/>
              <w:adjustRightInd/>
              <w:snapToGrid/>
              <w:spacing w:before="157" w:beforeLines="50" w:after="157" w:afterLines="50" w:line="240" w:lineRule="auto"/>
              <w:ind w:firstLine="420" w:firstLineChars="200"/>
              <w:jc w:val="center"/>
              <w:textAlignment w:val="auto"/>
              <w:rPr>
                <w:rFonts w:hint="eastAsia" w:ascii="Times New Roman" w:hAnsi="Times New Roman" w:eastAsia="宋体" w:cs="Times New Roman"/>
                <w:kern w:val="0"/>
                <w:sz w:val="21"/>
                <w:szCs w:val="20"/>
                <w:lang w:val="en-US" w:eastAsia="zh-CN" w:bidi="ar-SA"/>
              </w:rPr>
            </w:pPr>
          </w:p>
        </w:tc>
        <w:tc>
          <w:tcPr>
            <w:tcW w:w="1595" w:type="dxa"/>
            <w:vAlign w:val="top"/>
          </w:tcPr>
          <w:p>
            <w:pPr>
              <w:wordWrap/>
              <w:adjustRightInd/>
              <w:snapToGrid/>
              <w:spacing w:before="157" w:beforeLines="50" w:after="157" w:afterLines="50" w:line="240" w:lineRule="auto"/>
              <w:ind w:firstLine="420" w:firstLineChars="200"/>
              <w:jc w:val="center"/>
              <w:textAlignment w:val="auto"/>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优等</w:t>
            </w:r>
          </w:p>
        </w:tc>
        <w:tc>
          <w:tcPr>
            <w:tcW w:w="1595" w:type="dxa"/>
            <w:vAlign w:val="top"/>
          </w:tcPr>
          <w:p>
            <w:pPr>
              <w:wordWrap/>
              <w:adjustRightInd/>
              <w:snapToGrid/>
              <w:spacing w:before="157" w:beforeLines="50" w:after="157" w:afterLines="50" w:line="240" w:lineRule="auto"/>
              <w:ind w:firstLine="420" w:firstLineChars="200"/>
              <w:jc w:val="center"/>
              <w:textAlignment w:val="auto"/>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一等</w:t>
            </w:r>
          </w:p>
        </w:tc>
        <w:tc>
          <w:tcPr>
            <w:tcW w:w="1595" w:type="dxa"/>
            <w:vAlign w:val="top"/>
          </w:tcPr>
          <w:p>
            <w:pPr>
              <w:wordWrap/>
              <w:adjustRightInd/>
              <w:snapToGrid/>
              <w:spacing w:before="157" w:beforeLines="50" w:after="157" w:afterLines="50" w:line="240" w:lineRule="auto"/>
              <w:ind w:firstLine="420" w:firstLineChars="200"/>
              <w:jc w:val="center"/>
              <w:textAlignment w:val="auto"/>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vAlign w:val="top"/>
          </w:tcPr>
          <w:p>
            <w:pPr>
              <w:wordWrap/>
              <w:adjustRightInd/>
              <w:snapToGrid/>
              <w:spacing w:before="157" w:beforeLines="50" w:after="157" w:afterLines="50" w:line="240" w:lineRule="auto"/>
              <w:jc w:val="left"/>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色泽</w:t>
            </w:r>
          </w:p>
        </w:tc>
        <w:tc>
          <w:tcPr>
            <w:tcW w:w="4785" w:type="dxa"/>
            <w:gridSpan w:val="3"/>
            <w:vAlign w:val="top"/>
          </w:tcPr>
          <w:p>
            <w:pPr>
              <w:wordWrap/>
              <w:adjustRightInd/>
              <w:snapToGrid/>
              <w:spacing w:before="157" w:beforeLines="50" w:after="157" w:afterLines="50" w:line="240" w:lineRule="auto"/>
              <w:ind w:firstLine="420" w:firstLineChars="20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浅黄色至棕黄色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vAlign w:val="top"/>
          </w:tcPr>
          <w:p>
            <w:pPr>
              <w:wordWrap/>
              <w:adjustRightInd/>
              <w:snapToGrid/>
              <w:spacing w:before="157" w:beforeLines="50" w:after="157" w:afterLines="50" w:line="240" w:lineRule="auto"/>
              <w:jc w:val="left"/>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气味、滋味</w:t>
            </w:r>
          </w:p>
        </w:tc>
        <w:tc>
          <w:tcPr>
            <w:tcW w:w="4785" w:type="dxa"/>
            <w:gridSpan w:val="3"/>
            <w:vAlign w:val="top"/>
          </w:tcPr>
          <w:p>
            <w:pPr>
              <w:wordWrap/>
              <w:adjustRightInd/>
              <w:snapToGrid/>
              <w:spacing w:before="157" w:beforeLines="50" w:after="157" w:afterLines="50" w:line="240" w:lineRule="auto"/>
              <w:ind w:firstLine="420" w:firstLineChars="20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具有核桃油固有的气味和滋味，且无异味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vAlign w:val="top"/>
          </w:tcPr>
          <w:p>
            <w:pPr>
              <w:wordWrap/>
              <w:adjustRightInd/>
              <w:snapToGrid/>
              <w:spacing w:before="157" w:beforeLines="50" w:after="157" w:afterLines="50" w:line="240" w:lineRule="auto"/>
              <w:jc w:val="left"/>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透明度（20℃）</w:t>
            </w:r>
          </w:p>
        </w:tc>
        <w:tc>
          <w:tcPr>
            <w:tcW w:w="4785" w:type="dxa"/>
            <w:gridSpan w:val="3"/>
            <w:vAlign w:val="top"/>
          </w:tcPr>
          <w:p>
            <w:pPr>
              <w:wordWrap/>
              <w:adjustRightInd/>
              <w:snapToGrid/>
              <w:spacing w:before="157" w:beforeLines="50" w:after="157" w:afterLines="50" w:line="240" w:lineRule="auto"/>
              <w:ind w:firstLine="420" w:firstLineChars="20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透明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vAlign w:val="top"/>
          </w:tcPr>
          <w:p>
            <w:pPr>
              <w:wordWrap/>
              <w:adjustRightInd/>
              <w:snapToGrid/>
              <w:spacing w:before="157" w:beforeLines="50" w:after="157" w:afterLines="50" w:line="240" w:lineRule="auto"/>
              <w:jc w:val="left"/>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水分及挥发物/（%）                       ≤</w:t>
            </w:r>
          </w:p>
        </w:tc>
        <w:tc>
          <w:tcPr>
            <w:tcW w:w="4785" w:type="dxa"/>
            <w:gridSpan w:val="3"/>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yellow"/>
                <w:lang w:val="en-US" w:eastAsia="zh-CN"/>
              </w:rPr>
            </w:pPr>
            <w:r>
              <w:rPr>
                <w:rFonts w:hint="eastAsia" w:ascii="Times New Roman" w:hAnsi="Times New Roman" w:eastAsia="黑体" w:cs="Times New Roman"/>
                <w:color w:val="auto"/>
                <w:szCs w:val="21"/>
                <w:highlight w:val="no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vAlign w:val="top"/>
          </w:tcPr>
          <w:p>
            <w:pPr>
              <w:wordWrap/>
              <w:adjustRightInd/>
              <w:snapToGrid/>
              <w:spacing w:before="157" w:beforeLines="50" w:after="157" w:afterLines="50" w:line="240" w:lineRule="auto"/>
              <w:jc w:val="left"/>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不溶性杂质/（%）                         ≤</w:t>
            </w:r>
          </w:p>
        </w:tc>
        <w:tc>
          <w:tcPr>
            <w:tcW w:w="4785" w:type="dxa"/>
            <w:gridSpan w:val="3"/>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yellow"/>
                <w:lang w:val="en-US" w:eastAsia="zh-CN"/>
              </w:rPr>
            </w:pPr>
            <w:r>
              <w:rPr>
                <w:rFonts w:hint="eastAsia" w:ascii="Times New Roman" w:hAnsi="Times New Roman" w:eastAsia="黑体" w:cs="Times New Roman"/>
                <w:color w:val="auto"/>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vAlign w:val="top"/>
          </w:tcPr>
          <w:p>
            <w:pPr>
              <w:wordWrap/>
              <w:adjustRightInd/>
              <w:snapToGrid/>
              <w:spacing w:before="157" w:beforeLines="50" w:after="157" w:afterLines="50" w:line="240" w:lineRule="auto"/>
              <w:jc w:val="left"/>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酸价（KOH）/（mg/g）                    ≤</w:t>
            </w:r>
          </w:p>
        </w:tc>
        <w:tc>
          <w:tcPr>
            <w:tcW w:w="1595" w:type="dxa"/>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none"/>
                <w:lang w:val="en-US" w:eastAsia="zh-CN"/>
              </w:rPr>
            </w:pPr>
            <w:r>
              <w:rPr>
                <w:rFonts w:hint="eastAsia" w:ascii="Times New Roman" w:hAnsi="Times New Roman" w:eastAsia="黑体" w:cs="Times New Roman"/>
                <w:color w:val="auto"/>
                <w:szCs w:val="21"/>
                <w:highlight w:val="none"/>
                <w:lang w:val="en-US" w:eastAsia="zh-CN"/>
              </w:rPr>
              <w:t>0.8</w:t>
            </w:r>
          </w:p>
        </w:tc>
        <w:tc>
          <w:tcPr>
            <w:tcW w:w="1595" w:type="dxa"/>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none"/>
                <w:lang w:val="en-US" w:eastAsia="zh-CN"/>
              </w:rPr>
            </w:pPr>
            <w:r>
              <w:rPr>
                <w:rFonts w:hint="eastAsia" w:ascii="Times New Roman" w:hAnsi="Times New Roman" w:eastAsia="黑体" w:cs="Times New Roman"/>
                <w:color w:val="auto"/>
                <w:szCs w:val="21"/>
                <w:highlight w:val="none"/>
                <w:lang w:val="en-US" w:eastAsia="zh-CN"/>
              </w:rPr>
              <w:t>1.0</w:t>
            </w:r>
          </w:p>
        </w:tc>
        <w:tc>
          <w:tcPr>
            <w:tcW w:w="1595" w:type="dxa"/>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none"/>
                <w:lang w:val="en-US" w:eastAsia="zh-CN"/>
              </w:rPr>
            </w:pPr>
            <w:r>
              <w:rPr>
                <w:rFonts w:hint="eastAsia" w:ascii="Times New Roman" w:hAnsi="Times New Roman" w:eastAsia="黑体" w:cs="Times New Roman"/>
                <w:color w:val="auto"/>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vAlign w:val="top"/>
          </w:tcPr>
          <w:p>
            <w:pPr>
              <w:wordWrap/>
              <w:adjustRightInd/>
              <w:snapToGrid/>
              <w:spacing w:before="157" w:beforeLines="50" w:after="157" w:afterLines="50" w:line="240" w:lineRule="auto"/>
              <w:jc w:val="left"/>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过氧化值/（g/100g）                       ≤</w:t>
            </w:r>
          </w:p>
        </w:tc>
        <w:tc>
          <w:tcPr>
            <w:tcW w:w="1595" w:type="dxa"/>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none"/>
                <w:lang w:val="en-US" w:eastAsia="zh-CN"/>
              </w:rPr>
            </w:pPr>
            <w:r>
              <w:rPr>
                <w:rFonts w:hint="eastAsia" w:ascii="Times New Roman" w:hAnsi="Times New Roman" w:eastAsia="黑体" w:cs="Times New Roman"/>
                <w:color w:val="auto"/>
                <w:szCs w:val="21"/>
                <w:highlight w:val="none"/>
                <w:lang w:val="en-US" w:eastAsia="zh-CN"/>
              </w:rPr>
              <w:t>1.5</w:t>
            </w:r>
          </w:p>
        </w:tc>
        <w:tc>
          <w:tcPr>
            <w:tcW w:w="1595" w:type="dxa"/>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none"/>
                <w:lang w:val="en-US" w:eastAsia="zh-CN"/>
              </w:rPr>
            </w:pPr>
            <w:r>
              <w:rPr>
                <w:rFonts w:hint="eastAsia" w:ascii="Times New Roman" w:hAnsi="Times New Roman" w:eastAsia="黑体" w:cs="Times New Roman"/>
                <w:color w:val="auto"/>
                <w:szCs w:val="21"/>
                <w:highlight w:val="none"/>
                <w:lang w:val="en-US" w:eastAsia="zh-CN"/>
              </w:rPr>
              <w:t>3.5</w:t>
            </w:r>
          </w:p>
        </w:tc>
        <w:tc>
          <w:tcPr>
            <w:tcW w:w="1595" w:type="dxa"/>
            <w:vAlign w:val="top"/>
          </w:tcPr>
          <w:p>
            <w:pPr>
              <w:wordWrap/>
              <w:adjustRightInd/>
              <w:snapToGrid/>
              <w:spacing w:before="157" w:beforeLines="50" w:after="157" w:afterLines="50" w:line="240" w:lineRule="auto"/>
              <w:jc w:val="center"/>
              <w:textAlignment w:val="auto"/>
              <w:rPr>
                <w:rFonts w:hint="default" w:ascii="Times New Roman" w:hAnsi="Times New Roman" w:eastAsia="黑体" w:cs="Times New Roman"/>
                <w:color w:val="auto"/>
                <w:szCs w:val="21"/>
                <w:highlight w:val="none"/>
                <w:lang w:val="en-US" w:eastAsia="zh-CN"/>
              </w:rPr>
            </w:pPr>
            <w:r>
              <w:rPr>
                <w:rFonts w:hint="eastAsia" w:ascii="Times New Roman" w:hAnsi="Times New Roman" w:eastAsia="黑体" w:cs="Times New Roman"/>
                <w:color w:val="auto"/>
                <w:szCs w:val="21"/>
                <w:highlight w:val="none"/>
                <w:lang w:val="en-US" w:eastAsia="zh-CN"/>
              </w:rPr>
              <w:t>5.0</w:t>
            </w:r>
          </w:p>
        </w:tc>
      </w:tr>
    </w:tbl>
    <w:p>
      <w:pPr>
        <w:wordWrap/>
        <w:adjustRightInd/>
        <w:snapToGrid/>
        <w:spacing w:before="157" w:beforeLines="50" w:after="157" w:afterLines="50" w:line="240" w:lineRule="auto"/>
        <w:jc w:val="left"/>
        <w:textAlignment w:val="auto"/>
        <w:rPr>
          <w:rFonts w:hint="eastAsia" w:ascii="Times New Roman" w:hAnsi="Times New Roman" w:eastAsia="黑体" w:cs="Times New Roman"/>
          <w:color w:val="auto"/>
          <w:szCs w:val="21"/>
          <w:lang w:val="en-US" w:eastAsia="zh-CN"/>
        </w:rPr>
      </w:pPr>
    </w:p>
    <w:p>
      <w:pPr>
        <w:pStyle w:val="25"/>
        <w:numPr>
          <w:ilvl w:val="2"/>
          <w:numId w:val="0"/>
        </w:numPr>
        <w:wordWrap/>
        <w:adjustRightInd/>
        <w:snapToGrid/>
        <w:spacing w:before="157" w:beforeLines="50" w:after="157" w:afterLines="50" w:line="240" w:lineRule="auto"/>
        <w:ind w:leftChars="0"/>
        <w:jc w:val="both"/>
        <w:textAlignment w:val="auto"/>
        <w:rPr>
          <w:rFonts w:hint="eastAsia" w:cs="Times New Roman"/>
          <w:lang w:val="en-US" w:eastAsia="zh-CN"/>
        </w:rPr>
      </w:pPr>
      <w:bookmarkStart w:id="18" w:name="_Toc7636"/>
      <w:r>
        <w:rPr>
          <w:rFonts w:hint="eastAsia" w:ascii="黑体" w:hAnsi="黑体" w:eastAsia="黑体" w:cs="黑体"/>
          <w:lang w:val="en-US" w:eastAsia="zh-CN"/>
        </w:rPr>
        <w:t>5.4</w:t>
      </w:r>
      <w:r>
        <w:rPr>
          <w:rFonts w:hint="eastAsia" w:cs="Times New Roman"/>
          <w:lang w:val="en-US" w:eastAsia="zh-CN"/>
        </w:rPr>
        <w:t xml:space="preserve"> 食品安全要求</w:t>
      </w:r>
      <w:bookmarkEnd w:id="18"/>
    </w:p>
    <w:p>
      <w:pPr>
        <w:wordWrap/>
        <w:adjustRightInd/>
        <w:snapToGrid/>
        <w:spacing w:before="157" w:beforeLines="50" w:after="157" w:afterLines="50" w:line="240" w:lineRule="auto"/>
        <w:ind w:firstLine="42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按GB 2716的规定执行，同时应满足国家安全标准和法律法规要求规定。</w:t>
      </w:r>
    </w:p>
    <w:p>
      <w:pPr>
        <w:pStyle w:val="25"/>
        <w:numPr>
          <w:ilvl w:val="2"/>
          <w:numId w:val="0"/>
        </w:numPr>
        <w:wordWrap/>
        <w:adjustRightInd/>
        <w:snapToGrid/>
        <w:spacing w:before="157" w:beforeLines="50" w:after="157" w:afterLines="50" w:line="240" w:lineRule="auto"/>
        <w:ind w:leftChars="0"/>
        <w:jc w:val="both"/>
        <w:textAlignment w:val="auto"/>
        <w:rPr>
          <w:rFonts w:hint="eastAsia" w:cs="Times New Roman"/>
          <w:lang w:val="en-US" w:eastAsia="zh-CN"/>
        </w:rPr>
      </w:pPr>
      <w:bookmarkStart w:id="19" w:name="_Toc30170"/>
      <w:r>
        <w:rPr>
          <w:rFonts w:hint="eastAsia" w:ascii="黑体" w:hAnsi="黑体" w:eastAsia="黑体" w:cs="黑体"/>
          <w:lang w:val="en-US" w:eastAsia="zh-CN"/>
        </w:rPr>
        <w:t>5.5</w:t>
      </w:r>
      <w:r>
        <w:rPr>
          <w:rFonts w:hint="eastAsia" w:ascii="黑体" w:hAnsi="黑体" w:cs="黑体"/>
          <w:lang w:val="en-US" w:eastAsia="zh-CN"/>
        </w:rPr>
        <w:t xml:space="preserve"> </w:t>
      </w:r>
      <w:r>
        <w:rPr>
          <w:rFonts w:hint="eastAsia" w:cs="Times New Roman"/>
          <w:lang w:val="en-US" w:eastAsia="zh-CN"/>
        </w:rPr>
        <w:t>其他</w:t>
      </w:r>
      <w:bookmarkEnd w:id="19"/>
    </w:p>
    <w:p>
      <w:pPr>
        <w:wordWrap/>
        <w:adjustRightInd/>
        <w:snapToGrid/>
        <w:spacing w:before="157" w:beforeLines="50" w:after="157" w:afterLines="50" w:line="240" w:lineRule="auto"/>
        <w:ind w:firstLine="420" w:firstLineChars="200"/>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桓仁山核桃油中不得掺有其他食用油和非食用油；不得添加任何香精和香料。</w:t>
      </w:r>
    </w:p>
    <w:p>
      <w:pPr>
        <w:pStyle w:val="24"/>
        <w:numPr>
          <w:ilvl w:val="1"/>
          <w:numId w:val="0"/>
        </w:numPr>
        <w:wordWrap/>
        <w:adjustRightInd/>
        <w:snapToGrid/>
        <w:spacing w:before="157" w:beforeLines="50" w:after="157" w:afterLines="50" w:line="240" w:lineRule="auto"/>
        <w:ind w:leftChars="0"/>
        <w:textAlignment w:val="auto"/>
        <w:outlineLvl w:val="0"/>
        <w:rPr>
          <w:rFonts w:hint="eastAsia"/>
          <w:lang w:val="en-US" w:eastAsia="zh-CN"/>
        </w:rPr>
      </w:pPr>
      <w:bookmarkStart w:id="20" w:name="_Toc17353"/>
      <w:bookmarkStart w:id="21" w:name="_Toc17327"/>
      <w:r>
        <w:rPr>
          <w:rFonts w:hint="eastAsia"/>
          <w:lang w:val="en-US" w:eastAsia="zh-CN"/>
        </w:rPr>
        <w:t>6 检验方法</w:t>
      </w:r>
      <w:bookmarkEnd w:id="20"/>
      <w:bookmarkEnd w:id="21"/>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6.1</w:t>
      </w:r>
      <w:r>
        <w:rPr>
          <w:rFonts w:hint="eastAsia" w:ascii="Times New Roman" w:hAnsi="Times New Roman" w:eastAsia="宋体" w:cs="Times New Roman"/>
          <w:szCs w:val="21"/>
          <w:lang w:val="en-US" w:eastAsia="zh-CN"/>
        </w:rPr>
        <w:t xml:space="preserve">  折光指数检验：按GB/T 5527执行。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6.2</w:t>
      </w:r>
      <w:r>
        <w:rPr>
          <w:rFonts w:hint="eastAsia" w:ascii="Times New Roman" w:hAnsi="Times New Roman" w:eastAsia="宋体" w:cs="Times New Roman"/>
          <w:szCs w:val="21"/>
          <w:lang w:val="en-US" w:eastAsia="zh-CN"/>
        </w:rPr>
        <w:t xml:space="preserve"> 相对密度检验：按GB/T 5526执行。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6.3</w:t>
      </w:r>
      <w:r>
        <w:rPr>
          <w:rFonts w:hint="eastAsia" w:ascii="Times New Roman" w:hAnsi="Times New Roman" w:eastAsia="宋体" w:cs="Times New Roman"/>
          <w:szCs w:val="21"/>
          <w:lang w:val="en-US" w:eastAsia="zh-CN"/>
        </w:rPr>
        <w:t xml:space="preserve">  碘值检验：按GB/T 5532执行。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6.4</w:t>
      </w:r>
      <w:r>
        <w:rPr>
          <w:rFonts w:hint="eastAsia" w:ascii="Times New Roman" w:hAnsi="Times New Roman" w:eastAsia="宋体" w:cs="Times New Roman"/>
          <w:szCs w:val="21"/>
          <w:lang w:val="en-US" w:eastAsia="zh-CN"/>
        </w:rPr>
        <w:t xml:space="preserve">  皂化值检验：按GB/T 5534执行。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6.5</w:t>
      </w:r>
      <w:r>
        <w:rPr>
          <w:rFonts w:hint="eastAsia" w:ascii="Times New Roman" w:hAnsi="Times New Roman" w:eastAsia="宋体" w:cs="Times New Roman"/>
          <w:szCs w:val="21"/>
          <w:lang w:val="en-US" w:eastAsia="zh-CN"/>
        </w:rPr>
        <w:t xml:space="preserve">  脂肪酸组成检验：按GB 5009.168执行。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r>
        <w:rPr>
          <w:rFonts w:hint="eastAsia" w:ascii="黑体" w:hAnsi="黑体" w:eastAsia="黑体" w:cs="黑体"/>
          <w:kern w:val="0"/>
          <w:sz w:val="21"/>
          <w:szCs w:val="20"/>
          <w:lang w:val="en-US" w:eastAsia="zh-CN" w:bidi="ar-SA"/>
        </w:rPr>
        <w:t xml:space="preserve">6  </w:t>
      </w:r>
      <w:r>
        <w:rPr>
          <w:rFonts w:hint="eastAsia" w:ascii="Times New Roman" w:hAnsi="Times New Roman" w:eastAsia="宋体" w:cs="Times New Roman"/>
          <w:szCs w:val="21"/>
          <w:lang w:val="en-US" w:eastAsia="zh-CN"/>
        </w:rPr>
        <w:t>透明度、气味、滋味检验：按GB/T 5525执行。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6.7</w:t>
      </w:r>
      <w:r>
        <w:rPr>
          <w:rFonts w:hint="eastAsia" w:ascii="Times New Roman" w:hAnsi="Times New Roman" w:eastAsia="宋体" w:cs="Times New Roman"/>
          <w:szCs w:val="21"/>
          <w:lang w:val="en-US" w:eastAsia="zh-CN"/>
        </w:rPr>
        <w:t xml:space="preserve">  色泽检验：按GB/T 5009.37执行。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 xml:space="preserve">6.8 </w:t>
      </w:r>
      <w:r>
        <w:rPr>
          <w:rFonts w:hint="eastAsia" w:ascii="Times New Roman" w:hAnsi="Times New Roman" w:eastAsia="宋体" w:cs="Times New Roman"/>
          <w:szCs w:val="21"/>
          <w:lang w:val="en-US" w:eastAsia="zh-CN"/>
        </w:rPr>
        <w:t xml:space="preserve"> 水分及挥发物含量检验：按GB 5009.236执行。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 xml:space="preserve">6.9 </w:t>
      </w:r>
      <w:r>
        <w:rPr>
          <w:rFonts w:hint="eastAsia" w:ascii="Times New Roman" w:hAnsi="Times New Roman" w:eastAsia="宋体" w:cs="Times New Roman"/>
          <w:szCs w:val="21"/>
          <w:lang w:val="en-US" w:eastAsia="zh-CN"/>
        </w:rPr>
        <w:t xml:space="preserve"> 不溶性杂质含量检验：按GB/T 15688执行。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6.10</w:t>
      </w:r>
      <w:r>
        <w:rPr>
          <w:rFonts w:hint="eastAsia" w:ascii="Times New Roman" w:hAnsi="Times New Roman" w:eastAsia="宋体" w:cs="Times New Roman"/>
          <w:szCs w:val="21"/>
          <w:lang w:val="en-US" w:eastAsia="zh-CN"/>
        </w:rPr>
        <w:t xml:space="preserve">  酸价检验：按GB 5009.229执行。</w:t>
      </w:r>
    </w:p>
    <w:p>
      <w:pPr>
        <w:wordWrap/>
        <w:adjustRightInd/>
        <w:snapToGrid/>
        <w:spacing w:before="157" w:beforeLines="50" w:after="157" w:afterLines="50" w:line="240" w:lineRule="auto"/>
        <w:textAlignment w:val="auto"/>
        <w:rPr>
          <w:rFonts w:hint="eastAsia" w:ascii="Times New Roman" w:hAnsi="Times New Roman" w:eastAsia="宋体" w:cs="Times New Roman"/>
          <w:szCs w:val="21"/>
          <w:lang w:val="en-US" w:eastAsia="zh-CN"/>
        </w:rPr>
      </w:pPr>
      <w:r>
        <w:rPr>
          <w:rFonts w:hint="eastAsia" w:ascii="黑体" w:hAnsi="黑体" w:eastAsia="黑体" w:cs="黑体"/>
          <w:kern w:val="0"/>
          <w:sz w:val="21"/>
          <w:szCs w:val="20"/>
          <w:lang w:val="en-US" w:eastAsia="zh-CN" w:bidi="ar-SA"/>
        </w:rPr>
        <w:t>6.11</w:t>
      </w:r>
      <w:r>
        <w:rPr>
          <w:rFonts w:hint="eastAsia" w:ascii="Times New Roman" w:hAnsi="Times New Roman" w:eastAsia="宋体" w:cs="Times New Roman"/>
          <w:szCs w:val="21"/>
          <w:lang w:val="en-US" w:eastAsia="zh-CN"/>
        </w:rPr>
        <w:t xml:space="preserve"> 过氧化值检验：按GB 5009.227执行。</w:t>
      </w:r>
    </w:p>
    <w:p>
      <w:pPr>
        <w:pStyle w:val="24"/>
        <w:numPr>
          <w:ilvl w:val="1"/>
          <w:numId w:val="0"/>
        </w:numPr>
        <w:wordWrap/>
        <w:adjustRightInd/>
        <w:snapToGrid/>
        <w:spacing w:before="157" w:beforeLines="50" w:after="157" w:afterLines="50" w:line="240" w:lineRule="auto"/>
        <w:ind w:leftChars="0"/>
        <w:textAlignment w:val="auto"/>
        <w:outlineLvl w:val="0"/>
        <w:rPr>
          <w:rFonts w:hint="default"/>
          <w:lang w:val="en-US" w:eastAsia="zh-CN"/>
        </w:rPr>
      </w:pPr>
      <w:bookmarkStart w:id="22" w:name="_Toc11967"/>
      <w:bookmarkStart w:id="23" w:name="_Toc12520"/>
      <w:r>
        <w:rPr>
          <w:rFonts w:hint="eastAsia"/>
          <w:lang w:val="en-US" w:eastAsia="zh-CN"/>
        </w:rPr>
        <w:t xml:space="preserve">7 </w:t>
      </w:r>
      <w:r>
        <w:rPr>
          <w:rFonts w:hint="default"/>
          <w:lang w:val="en-US" w:eastAsia="zh-CN"/>
        </w:rPr>
        <w:t xml:space="preserve"> 检验规则</w:t>
      </w:r>
      <w:bookmarkEnd w:id="22"/>
      <w:bookmarkEnd w:id="23"/>
    </w:p>
    <w:p>
      <w:pPr>
        <w:pStyle w:val="23"/>
        <w:wordWrap/>
        <w:adjustRightInd/>
        <w:snapToGrid/>
        <w:spacing w:before="157" w:beforeLines="50" w:after="157" w:afterLines="50" w:line="240" w:lineRule="auto"/>
        <w:ind w:firstLine="0" w:firstLineChars="0"/>
        <w:textAlignment w:val="auto"/>
        <w:rPr>
          <w:rFonts w:hint="default" w:ascii="Times New Roman" w:hAnsi="Times New Roman" w:eastAsia="黑体" w:cs="Times New Roman"/>
        </w:rPr>
      </w:pPr>
    </w:p>
    <w:p>
      <w:pPr>
        <w:pStyle w:val="25"/>
        <w:numPr>
          <w:ilvl w:val="2"/>
          <w:numId w:val="0"/>
        </w:numPr>
        <w:wordWrap/>
        <w:adjustRightInd/>
        <w:snapToGrid/>
        <w:spacing w:before="157" w:beforeLines="50" w:after="157" w:afterLines="50" w:line="240" w:lineRule="auto"/>
        <w:ind w:leftChars="0"/>
        <w:textAlignment w:val="auto"/>
        <w:rPr>
          <w:rFonts w:hint="default"/>
        </w:rPr>
      </w:pPr>
      <w:bookmarkStart w:id="24" w:name="_Toc6648"/>
      <w:bookmarkStart w:id="25" w:name="_Toc196816681"/>
      <w:r>
        <w:rPr>
          <w:rFonts w:hint="eastAsia" w:ascii="黑体" w:hAnsi="黑体" w:eastAsia="黑体" w:cs="黑体"/>
          <w:kern w:val="0"/>
          <w:sz w:val="21"/>
          <w:szCs w:val="20"/>
          <w:lang w:val="en-US" w:eastAsia="zh-CN" w:bidi="ar-SA"/>
        </w:rPr>
        <w:t>7.1</w:t>
      </w:r>
      <w:r>
        <w:rPr>
          <w:rFonts w:hint="eastAsia"/>
          <w:lang w:val="en-US" w:eastAsia="zh-CN"/>
        </w:rPr>
        <w:t xml:space="preserve">  </w:t>
      </w:r>
      <w:r>
        <w:rPr>
          <w:rFonts w:hint="eastAsia"/>
          <w:lang w:eastAsia="zh-CN"/>
        </w:rPr>
        <w:t>检验一般规则</w:t>
      </w:r>
      <w:bookmarkEnd w:id="24"/>
    </w:p>
    <w:p>
      <w:pPr>
        <w:pStyle w:val="26"/>
        <w:numPr>
          <w:ilvl w:val="3"/>
          <w:numId w:val="0"/>
        </w:numPr>
        <w:wordWrap/>
        <w:adjustRightInd/>
        <w:snapToGrid/>
        <w:spacing w:before="157" w:beforeLines="50" w:after="157" w:afterLines="50" w:line="240" w:lineRule="auto"/>
        <w:ind w:leftChars="0"/>
        <w:textAlignment w:val="auto"/>
        <w:rPr>
          <w:rFonts w:hint="default" w:ascii="Times New Roman" w:hAnsi="Times New Roman" w:eastAsia="黑体" w:cs="Times New Roman"/>
          <w:sz w:val="21"/>
          <w:lang w:val="en-US" w:eastAsia="zh-CN" w:bidi="ar-SA"/>
        </w:rPr>
      </w:pPr>
      <w:r>
        <w:rPr>
          <w:rFonts w:hint="eastAsia" w:cs="Times New Roman"/>
          <w:sz w:val="21"/>
          <w:lang w:val="en-US" w:eastAsia="zh-CN" w:bidi="ar-SA"/>
        </w:rPr>
        <w:t xml:space="preserve">       </w:t>
      </w:r>
      <w:r>
        <w:rPr>
          <w:rFonts w:hint="eastAsia" w:ascii="Times New Roman" w:hAnsi="Times New Roman" w:eastAsia="宋体" w:cs="Times New Roman"/>
          <w:sz w:val="21"/>
          <w:highlight w:val="none"/>
          <w:lang w:val="en-US" w:eastAsia="zh-CN" w:bidi="ar-SA"/>
        </w:rPr>
        <w:t>按照GB/T 5490执行。</w:t>
      </w:r>
    </w:p>
    <w:p>
      <w:pPr>
        <w:pStyle w:val="25"/>
        <w:numPr>
          <w:ilvl w:val="2"/>
          <w:numId w:val="0"/>
        </w:numPr>
        <w:wordWrap/>
        <w:adjustRightInd/>
        <w:snapToGrid/>
        <w:spacing w:before="157" w:beforeLines="50" w:after="157" w:afterLines="50" w:line="240" w:lineRule="auto"/>
        <w:ind w:leftChars="0"/>
        <w:textAlignment w:val="auto"/>
        <w:rPr>
          <w:rFonts w:hint="default"/>
        </w:rPr>
      </w:pPr>
      <w:bookmarkStart w:id="26" w:name="_Toc28144"/>
      <w:r>
        <w:rPr>
          <w:rFonts w:hint="eastAsia" w:ascii="黑体" w:hAnsi="黑体" w:eastAsia="黑体" w:cs="黑体"/>
          <w:lang w:val="en-US" w:eastAsia="zh-CN"/>
        </w:rPr>
        <w:t>7.2</w:t>
      </w:r>
      <w:r>
        <w:rPr>
          <w:rFonts w:hint="eastAsia"/>
          <w:lang w:val="en-US" w:eastAsia="zh-CN"/>
        </w:rPr>
        <w:t xml:space="preserve">  </w:t>
      </w:r>
      <w:r>
        <w:rPr>
          <w:rFonts w:hint="default"/>
          <w:lang w:eastAsia="zh-CN"/>
        </w:rPr>
        <w:t>扦样</w:t>
      </w:r>
      <w:bookmarkEnd w:id="26"/>
    </w:p>
    <w:p>
      <w:pPr>
        <w:pStyle w:val="23"/>
        <w:wordWrap/>
        <w:adjustRightInd/>
        <w:snapToGrid/>
        <w:spacing w:before="157" w:beforeLines="50" w:after="157" w:afterLines="50" w:line="240" w:lineRule="auto"/>
        <w:ind w:left="0" w:leftChars="0" w:firstLine="42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按GB/T 5</w:t>
      </w:r>
      <w:r>
        <w:rPr>
          <w:rFonts w:hint="eastAsia" w:ascii="Times New Roman" w:cs="Times New Roman"/>
          <w:lang w:val="en-US" w:eastAsia="zh-CN"/>
        </w:rPr>
        <w:t>524</w:t>
      </w:r>
      <w:r>
        <w:rPr>
          <w:rFonts w:hint="default" w:ascii="Times New Roman" w:hAnsi="Times New Roman" w:eastAsia="宋体" w:cs="Times New Roman"/>
          <w:lang w:val="en-US" w:eastAsia="zh-CN"/>
        </w:rPr>
        <w:t>执行。</w:t>
      </w:r>
    </w:p>
    <w:bookmarkEnd w:id="25"/>
    <w:p>
      <w:pPr>
        <w:pStyle w:val="25"/>
        <w:numPr>
          <w:ilvl w:val="2"/>
          <w:numId w:val="0"/>
        </w:numPr>
        <w:wordWrap/>
        <w:adjustRightInd/>
        <w:snapToGrid/>
        <w:spacing w:before="157" w:beforeLines="50" w:after="157" w:afterLines="50" w:line="240" w:lineRule="auto"/>
        <w:ind w:leftChars="0"/>
        <w:textAlignment w:val="auto"/>
        <w:rPr>
          <w:rFonts w:hint="default"/>
          <w:lang w:val="en-US" w:eastAsia="zh-CN"/>
        </w:rPr>
      </w:pPr>
      <w:bookmarkStart w:id="27" w:name="_Toc9024"/>
      <w:r>
        <w:rPr>
          <w:rFonts w:hint="eastAsia" w:ascii="黑体" w:hAnsi="黑体" w:eastAsia="黑体" w:cs="黑体"/>
          <w:lang w:val="en-US" w:eastAsia="zh-CN"/>
        </w:rPr>
        <w:t>7.3</w:t>
      </w:r>
      <w:r>
        <w:rPr>
          <w:rFonts w:hint="eastAsia"/>
          <w:lang w:val="en-US" w:eastAsia="zh-CN"/>
        </w:rPr>
        <w:t xml:space="preserve">  </w:t>
      </w:r>
      <w:r>
        <w:rPr>
          <w:rFonts w:hint="default"/>
          <w:lang w:val="en-US" w:eastAsia="zh-CN"/>
        </w:rPr>
        <w:t>出厂检验</w:t>
      </w:r>
      <w:bookmarkEnd w:id="27"/>
    </w:p>
    <w:p>
      <w:pPr>
        <w:pStyle w:val="23"/>
        <w:numPr>
          <w:ilvl w:val="0"/>
          <w:numId w:val="0"/>
        </w:numPr>
        <w:wordWrap/>
        <w:adjustRightInd/>
        <w:snapToGrid/>
        <w:spacing w:before="157" w:beforeLines="50" w:after="157" w:afterLines="50" w:line="240" w:lineRule="auto"/>
        <w:ind w:leftChars="0"/>
        <w:textAlignment w:val="auto"/>
        <w:rPr>
          <w:rFonts w:hint="default" w:ascii="Times New Roman" w:hAnsi="Times New Roman" w:eastAsia="黑体" w:cs="Times New Roman"/>
        </w:rPr>
      </w:pPr>
      <w:r>
        <w:rPr>
          <w:rFonts w:hint="default" w:ascii="Times New Roman" w:hAnsi="Times New Roman" w:eastAsia="黑体" w:cs="Times New Roman"/>
          <w:lang w:val="en-US" w:eastAsia="zh-CN"/>
        </w:rPr>
        <w:t xml:space="preserve">   </w:t>
      </w:r>
      <w:r>
        <w:rPr>
          <w:rFonts w:hint="default" w:ascii="Times New Roman" w:hAnsi="Times New Roman" w:eastAsia="宋体" w:cs="Times New Roman"/>
          <w:highlight w:val="none"/>
          <w:lang w:val="en-US" w:eastAsia="zh-CN"/>
        </w:rPr>
        <w:t xml:space="preserve"> 检验项目按5.</w:t>
      </w:r>
      <w:r>
        <w:rPr>
          <w:rFonts w:hint="eastAsia" w:ascii="Times New Roman" w:cs="Times New Roman"/>
          <w:highlight w:val="none"/>
          <w:lang w:val="en-US" w:eastAsia="zh-CN"/>
        </w:rPr>
        <w:t>3</w:t>
      </w:r>
      <w:r>
        <w:rPr>
          <w:rFonts w:hint="default" w:ascii="Times New Roman" w:hAnsi="Times New Roman" w:eastAsia="宋体" w:cs="Times New Roman"/>
          <w:highlight w:val="none"/>
          <w:lang w:val="en-US" w:eastAsia="zh-CN"/>
        </w:rPr>
        <w:t>的规定</w:t>
      </w:r>
      <w:r>
        <w:rPr>
          <w:rFonts w:hint="eastAsia" w:ascii="Times New Roman" w:cs="Times New Roman"/>
          <w:highlight w:val="none"/>
          <w:lang w:val="en-US" w:eastAsia="zh-CN"/>
        </w:rPr>
        <w:t>逐批</w:t>
      </w:r>
      <w:r>
        <w:rPr>
          <w:rFonts w:hint="default" w:ascii="Times New Roman" w:hAnsi="Times New Roman" w:eastAsia="宋体" w:cs="Times New Roman"/>
          <w:highlight w:val="none"/>
          <w:lang w:val="en-US" w:eastAsia="zh-CN"/>
        </w:rPr>
        <w:t>检验，</w:t>
      </w:r>
      <w:r>
        <w:rPr>
          <w:rFonts w:hint="eastAsia" w:ascii="Times New Roman" w:cs="Times New Roman"/>
          <w:highlight w:val="none"/>
          <w:lang w:val="en-US" w:eastAsia="zh-CN"/>
        </w:rPr>
        <w:t>并出具检验报告</w:t>
      </w:r>
      <w:r>
        <w:rPr>
          <w:rFonts w:hint="default" w:ascii="Times New Roman" w:hAnsi="Times New Roman" w:eastAsia="宋体" w:cs="Times New Roman"/>
          <w:highlight w:val="none"/>
          <w:lang w:val="en-US" w:eastAsia="zh-CN"/>
        </w:rPr>
        <w:t>，方可出厂和销售。</w:t>
      </w:r>
      <w:r>
        <w:rPr>
          <w:rFonts w:hint="default" w:ascii="Times New Roman" w:hAnsi="Times New Roman" w:eastAsia="宋体" w:cs="Times New Roman"/>
          <w:highlight w:val="none"/>
        </w:rPr>
        <w:t xml:space="preserve"> </w:t>
      </w:r>
    </w:p>
    <w:p>
      <w:pPr>
        <w:pStyle w:val="23"/>
        <w:numPr>
          <w:ilvl w:val="0"/>
          <w:numId w:val="0"/>
        </w:numPr>
        <w:wordWrap/>
        <w:adjustRightInd/>
        <w:snapToGrid/>
        <w:spacing w:before="157" w:beforeLines="50" w:after="157" w:afterLines="50" w:line="240" w:lineRule="auto"/>
        <w:ind w:leftChars="0"/>
        <w:textAlignment w:val="auto"/>
        <w:rPr>
          <w:rFonts w:hint="default" w:ascii="Times New Roman" w:hAnsi="Times New Roman" w:eastAsia="宋体" w:cs="Times New Roman"/>
          <w:lang w:val="en-US" w:eastAsia="zh-CN"/>
        </w:rPr>
      </w:pPr>
      <w:r>
        <w:rPr>
          <w:rFonts w:hint="eastAsia" w:ascii="黑体" w:hAnsi="黑体" w:eastAsia="黑体" w:cs="黑体"/>
          <w:lang w:val="en-US" w:eastAsia="zh-CN"/>
        </w:rPr>
        <w:t>7.4</w:t>
      </w:r>
      <w:r>
        <w:rPr>
          <w:rFonts w:hint="eastAsia" w:ascii="Times New Roman" w:eastAsia="黑体" w:cs="Times New Roman"/>
          <w:lang w:val="en-US" w:eastAsia="zh-CN"/>
        </w:rPr>
        <w:t xml:space="preserve">  </w:t>
      </w:r>
      <w:r>
        <w:rPr>
          <w:rFonts w:hint="default" w:ascii="Times New Roman" w:hAnsi="Times New Roman" w:eastAsia="黑体" w:cs="Times New Roman"/>
        </w:rPr>
        <w:t>型式检验</w:t>
      </w:r>
    </w:p>
    <w:p>
      <w:pPr>
        <w:pStyle w:val="23"/>
        <w:widowControl/>
        <w:numPr>
          <w:ilvl w:val="0"/>
          <w:numId w:val="0"/>
        </w:numPr>
        <w:wordWrap/>
        <w:autoSpaceDE w:val="0"/>
        <w:autoSpaceDN w:val="0"/>
        <w:adjustRightInd/>
        <w:snapToGrid/>
        <w:spacing w:before="157" w:beforeLines="50" w:after="157" w:afterLines="50" w:line="240" w:lineRule="auto"/>
        <w:ind w:leftChars="0"/>
        <w:textAlignment w:val="auto"/>
        <w:outlineLvl w:val="3"/>
        <w:rPr>
          <w:rFonts w:hint="eastAsia" w:ascii="Times New Roman" w:cs="Times New Roman"/>
          <w:lang w:val="en-US" w:eastAsia="zh-CN"/>
        </w:rPr>
      </w:pPr>
      <w:r>
        <w:rPr>
          <w:rFonts w:hint="eastAsia" w:ascii="黑体" w:hAnsi="黑体" w:eastAsia="黑体" w:cs="黑体"/>
          <w:sz w:val="21"/>
          <w:lang w:val="en-US" w:eastAsia="zh-CN" w:bidi="ar-SA"/>
        </w:rPr>
        <w:t>7.4.1</w:t>
      </w:r>
      <w:r>
        <w:rPr>
          <w:rFonts w:hint="eastAsia" w:ascii="Times New Roman" w:cs="Times New Roman"/>
          <w:lang w:val="en-US" w:eastAsia="zh-CN"/>
        </w:rPr>
        <w:t xml:space="preserve">  当原料、设备、工艺有较大变化，或监督管理部门提出要求时，均应进行形式检验。</w:t>
      </w:r>
    </w:p>
    <w:p>
      <w:pPr>
        <w:pStyle w:val="23"/>
        <w:numPr>
          <w:ilvl w:val="0"/>
          <w:numId w:val="0"/>
        </w:numPr>
        <w:wordWrap/>
        <w:adjustRightInd/>
        <w:snapToGrid/>
        <w:spacing w:before="157" w:beforeLines="50" w:after="157" w:afterLines="50" w:line="240" w:lineRule="auto"/>
        <w:ind w:leftChars="0"/>
        <w:textAlignment w:val="auto"/>
        <w:rPr>
          <w:rFonts w:hint="default" w:ascii="Times New Roman" w:cs="Times New Roman"/>
          <w:lang w:val="en-US" w:eastAsia="zh-CN"/>
        </w:rPr>
      </w:pPr>
      <w:r>
        <w:rPr>
          <w:rFonts w:hint="eastAsia" w:ascii="黑体" w:hAnsi="黑体" w:eastAsia="黑体" w:cs="黑体"/>
          <w:sz w:val="21"/>
          <w:lang w:val="en-US" w:eastAsia="zh-CN" w:bidi="ar-SA"/>
        </w:rPr>
        <w:t>7.4.2</w:t>
      </w:r>
      <w:r>
        <w:rPr>
          <w:rFonts w:hint="eastAsia" w:ascii="Times New Roman" w:cs="Times New Roman"/>
          <w:lang w:val="en-US" w:eastAsia="zh-CN"/>
        </w:rPr>
        <w:t xml:space="preserve">  按第5章的规定检验。当检测结果与表1的规定不符时，可用生产该批产品的山核桃原料进行检验，并佐证。</w:t>
      </w:r>
    </w:p>
    <w:p>
      <w:pPr>
        <w:pStyle w:val="25"/>
        <w:numPr>
          <w:ilvl w:val="2"/>
          <w:numId w:val="0"/>
        </w:numPr>
        <w:wordWrap/>
        <w:adjustRightInd/>
        <w:snapToGrid/>
        <w:spacing w:before="157" w:beforeLines="50" w:after="157" w:afterLines="50" w:line="240" w:lineRule="auto"/>
        <w:ind w:leftChars="0"/>
        <w:textAlignment w:val="auto"/>
        <w:rPr>
          <w:rFonts w:hint="default"/>
        </w:rPr>
      </w:pPr>
      <w:bookmarkStart w:id="28" w:name="_Toc5015"/>
      <w:r>
        <w:rPr>
          <w:rFonts w:hint="default" w:ascii="黑体" w:hAnsi="黑体" w:eastAsia="黑体" w:cs="黑体"/>
          <w:sz w:val="21"/>
          <w:lang w:val="en-US" w:eastAsia="zh-CN" w:bidi="ar-SA"/>
        </w:rPr>
        <w:t>7.</w:t>
      </w:r>
      <w:r>
        <w:rPr>
          <w:rFonts w:hint="eastAsia" w:ascii="黑体" w:hAnsi="黑体" w:eastAsia="黑体" w:cs="黑体"/>
          <w:sz w:val="21"/>
          <w:lang w:val="en-US" w:eastAsia="zh-CN" w:bidi="ar-SA"/>
        </w:rPr>
        <w:t xml:space="preserve">5 </w:t>
      </w:r>
      <w:r>
        <w:rPr>
          <w:rFonts w:hint="default"/>
        </w:rPr>
        <w:t xml:space="preserve"> 判定规则</w:t>
      </w:r>
      <w:bookmarkEnd w:id="28"/>
    </w:p>
    <w:p>
      <w:pPr>
        <w:pStyle w:val="24"/>
        <w:numPr>
          <w:ilvl w:val="1"/>
          <w:numId w:val="0"/>
        </w:numPr>
        <w:wordWrap/>
        <w:adjustRightInd/>
        <w:snapToGrid/>
        <w:spacing w:before="157" w:beforeLines="50" w:after="157" w:afterLines="50" w:line="240" w:lineRule="auto"/>
        <w:ind w:leftChars="0" w:firstLine="420" w:firstLineChars="200"/>
        <w:textAlignment w:val="auto"/>
        <w:outlineLvl w:val="0"/>
        <w:rPr>
          <w:rFonts w:hint="default" w:ascii="Times New Roman" w:hAnsi="Times New Roman" w:eastAsia="宋体" w:cs="Times New Roman"/>
          <w:sz w:val="21"/>
          <w:lang w:val="en-US" w:eastAsia="zh-CN" w:bidi="ar-SA"/>
        </w:rPr>
      </w:pPr>
      <w:bookmarkStart w:id="29" w:name="_Toc27050"/>
      <w:bookmarkStart w:id="30" w:name="_Toc12476"/>
      <w:bookmarkStart w:id="31" w:name="_Toc4361"/>
      <w:bookmarkStart w:id="32" w:name="_Toc26091"/>
      <w:bookmarkStart w:id="33" w:name="_Toc219799243"/>
      <w:r>
        <w:rPr>
          <w:rFonts w:hint="eastAsia" w:ascii="Times New Roman" w:hAnsi="Times New Roman" w:eastAsia="宋体" w:cs="Times New Roman"/>
          <w:sz w:val="21"/>
          <w:lang w:val="en-US" w:eastAsia="zh-CN" w:bidi="ar-SA"/>
        </w:rPr>
        <w:t>有一项不符合表2规定值时，即判定为不符合该等级产品。</w:t>
      </w:r>
      <w:bookmarkEnd w:id="29"/>
      <w:bookmarkEnd w:id="30"/>
      <w:bookmarkEnd w:id="31"/>
      <w:bookmarkEnd w:id="32"/>
    </w:p>
    <w:p>
      <w:pPr>
        <w:pStyle w:val="24"/>
        <w:numPr>
          <w:ilvl w:val="1"/>
          <w:numId w:val="0"/>
        </w:numPr>
        <w:wordWrap/>
        <w:adjustRightInd/>
        <w:snapToGrid/>
        <w:spacing w:before="157" w:beforeLines="50" w:after="157" w:afterLines="50" w:line="240" w:lineRule="auto"/>
        <w:ind w:leftChars="0"/>
        <w:textAlignment w:val="auto"/>
        <w:outlineLvl w:val="0"/>
        <w:rPr>
          <w:rFonts w:hint="eastAsia"/>
          <w:lang w:val="en-US" w:eastAsia="zh-CN"/>
        </w:rPr>
      </w:pPr>
      <w:bookmarkStart w:id="34" w:name="_Toc15210"/>
      <w:bookmarkStart w:id="35" w:name="_Toc18514"/>
      <w:r>
        <w:rPr>
          <w:rFonts w:hint="eastAsia"/>
          <w:lang w:val="en-US" w:eastAsia="zh-CN"/>
        </w:rPr>
        <w:t xml:space="preserve">8  </w:t>
      </w:r>
      <w:r>
        <w:rPr>
          <w:rFonts w:hint="default"/>
          <w:lang w:val="en-US" w:eastAsia="zh-CN"/>
        </w:rPr>
        <w:t>标志</w:t>
      </w:r>
      <w:bookmarkEnd w:id="33"/>
      <w:r>
        <w:rPr>
          <w:rFonts w:hint="eastAsia"/>
          <w:lang w:val="en-US" w:eastAsia="zh-CN"/>
        </w:rPr>
        <w:t>和标识</w:t>
      </w:r>
      <w:bookmarkEnd w:id="34"/>
      <w:bookmarkEnd w:id="35"/>
    </w:p>
    <w:p>
      <w:pPr>
        <w:pStyle w:val="23"/>
        <w:numPr>
          <w:ilvl w:val="0"/>
          <w:numId w:val="0"/>
        </w:numPr>
        <w:wordWrap/>
        <w:adjustRightInd/>
        <w:snapToGrid/>
        <w:spacing w:before="157" w:beforeLines="50" w:after="157" w:afterLines="50" w:line="240" w:lineRule="auto"/>
        <w:ind w:leftChars="0"/>
        <w:textAlignment w:val="auto"/>
        <w:rPr>
          <w:rFonts w:hint="default" w:ascii="Times New Roman" w:hAnsi="Times New Roman" w:cs="Times New Roman"/>
        </w:rPr>
      </w:pPr>
      <w:r>
        <w:rPr>
          <w:rFonts w:hint="eastAsia" w:ascii="黑体" w:hAnsi="黑体" w:eastAsia="黑体" w:cs="黑体"/>
          <w:sz w:val="21"/>
          <w:lang w:val="en-US" w:eastAsia="zh-CN" w:bidi="ar-SA"/>
        </w:rPr>
        <w:t>8.1</w:t>
      </w:r>
      <w:r>
        <w:rPr>
          <w:rFonts w:hint="eastAsia" w:ascii="Times New Roman" w:eastAsia="黑体" w:cs="Times New Roman"/>
          <w:lang w:val="en-US" w:eastAsia="zh-CN"/>
        </w:rPr>
        <w:t xml:space="preserve">  </w:t>
      </w:r>
      <w:r>
        <w:rPr>
          <w:rFonts w:hint="default" w:ascii="Times New Roman" w:hAnsi="Times New Roman" w:cs="Times New Roman"/>
        </w:rPr>
        <w:t>获得批准的企业，可在其产品外包装上使用地理标志产品保护标志。</w:t>
      </w:r>
    </w:p>
    <w:p>
      <w:pPr>
        <w:pStyle w:val="23"/>
        <w:numPr>
          <w:ilvl w:val="0"/>
          <w:numId w:val="0"/>
        </w:numPr>
        <w:wordWrap/>
        <w:adjustRightInd/>
        <w:snapToGrid/>
        <w:spacing w:before="157" w:beforeLines="50" w:after="157" w:afterLines="50" w:line="240" w:lineRule="auto"/>
        <w:ind w:leftChars="0"/>
        <w:textAlignment w:val="auto"/>
        <w:rPr>
          <w:rFonts w:hint="default" w:ascii="Times New Roman" w:hAnsi="Times New Roman" w:cs="Times New Roman"/>
        </w:rPr>
      </w:pPr>
      <w:r>
        <w:rPr>
          <w:rFonts w:hint="eastAsia" w:ascii="黑体" w:hAnsi="黑体" w:eastAsia="黑体" w:cs="黑体"/>
          <w:sz w:val="21"/>
          <w:lang w:val="en-US" w:eastAsia="zh-CN" w:bidi="ar-SA"/>
        </w:rPr>
        <w:t>8.2</w:t>
      </w:r>
      <w:r>
        <w:rPr>
          <w:rFonts w:hint="eastAsia" w:ascii="Times New Roman" w:eastAsia="黑体" w:cs="Times New Roman"/>
          <w:lang w:val="en-US" w:eastAsia="zh-CN"/>
        </w:rPr>
        <w:t xml:space="preserve">  </w:t>
      </w:r>
      <w:r>
        <w:rPr>
          <w:rFonts w:hint="eastAsia" w:ascii="Times New Roman" w:hAnsi="Times New Roman" w:eastAsia="黑体" w:cs="Times New Roman"/>
          <w:lang w:val="en-US" w:eastAsia="zh-CN"/>
        </w:rPr>
        <w:t xml:space="preserve"> </w:t>
      </w:r>
      <w:r>
        <w:rPr>
          <w:rFonts w:hint="default" w:ascii="Times New Roman" w:hAnsi="Times New Roman" w:cs="Times New Roman"/>
        </w:rPr>
        <w:t>应符合GB</w:t>
      </w:r>
      <w:r>
        <w:rPr>
          <w:rFonts w:hint="default" w:ascii="Times New Roman" w:hAnsi="Times New Roman" w:cs="Times New Roman"/>
          <w:lang w:val="en-US" w:eastAsia="zh-CN"/>
        </w:rPr>
        <w:t xml:space="preserve"> </w:t>
      </w:r>
      <w:r>
        <w:rPr>
          <w:rFonts w:hint="default" w:ascii="Times New Roman" w:hAnsi="Times New Roman" w:cs="Times New Roman"/>
        </w:rPr>
        <w:t>7718</w:t>
      </w:r>
      <w:r>
        <w:rPr>
          <w:rFonts w:hint="default" w:ascii="Times New Roman" w:hAnsi="Times New Roman" w:cs="Times New Roman"/>
          <w:lang w:eastAsia="zh-CN"/>
        </w:rPr>
        <w:t>和</w:t>
      </w:r>
      <w:r>
        <w:rPr>
          <w:rFonts w:hint="default" w:ascii="Times New Roman" w:hAnsi="Times New Roman" w:cs="Times New Roman"/>
          <w:lang w:val="en-US" w:eastAsia="zh-CN"/>
        </w:rPr>
        <w:t>GB 28050的</w:t>
      </w:r>
      <w:r>
        <w:rPr>
          <w:rFonts w:hint="default" w:ascii="Times New Roman" w:hAnsi="Times New Roman" w:cs="Times New Roman"/>
        </w:rPr>
        <w:t>规定。</w:t>
      </w:r>
      <w:r>
        <w:rPr>
          <w:rFonts w:hint="default" w:ascii="Times New Roman" w:hAnsi="Times New Roman" w:cs="Times New Roman"/>
          <w:lang w:eastAsia="zh-CN"/>
        </w:rPr>
        <w:t>产品名称应按本标准规定的名称和等级标注。</w:t>
      </w:r>
    </w:p>
    <w:p>
      <w:pPr>
        <w:pStyle w:val="24"/>
        <w:numPr>
          <w:ilvl w:val="1"/>
          <w:numId w:val="0"/>
        </w:numPr>
        <w:wordWrap/>
        <w:adjustRightInd/>
        <w:snapToGrid/>
        <w:spacing w:before="157" w:beforeLines="50" w:after="157" w:afterLines="50" w:line="240" w:lineRule="auto"/>
        <w:ind w:leftChars="0"/>
        <w:textAlignment w:val="auto"/>
        <w:outlineLvl w:val="0"/>
        <w:rPr>
          <w:rFonts w:hint="default"/>
          <w:lang w:val="en-US" w:eastAsia="zh-CN"/>
        </w:rPr>
      </w:pPr>
      <w:bookmarkStart w:id="36" w:name="_Toc21884"/>
      <w:bookmarkStart w:id="37" w:name="_Toc2729"/>
      <w:r>
        <w:rPr>
          <w:rFonts w:hint="eastAsia" w:ascii="黑体" w:hAnsi="黑体" w:eastAsia="黑体" w:cs="黑体"/>
          <w:sz w:val="21"/>
          <w:lang w:val="en-US" w:eastAsia="zh-CN" w:bidi="ar-SA"/>
        </w:rPr>
        <w:t>9</w:t>
      </w:r>
      <w:r>
        <w:rPr>
          <w:rFonts w:hint="eastAsia"/>
          <w:lang w:val="en-US" w:eastAsia="zh-CN"/>
        </w:rPr>
        <w:t xml:space="preserve">  </w:t>
      </w:r>
      <w:r>
        <w:rPr>
          <w:rFonts w:hint="default"/>
          <w:lang w:val="en-US" w:eastAsia="zh-CN"/>
        </w:rPr>
        <w:t>包装</w:t>
      </w:r>
      <w:r>
        <w:rPr>
          <w:rFonts w:hint="eastAsia"/>
          <w:lang w:val="en-US" w:eastAsia="zh-CN"/>
        </w:rPr>
        <w:t>、</w:t>
      </w:r>
      <w:r>
        <w:rPr>
          <w:rFonts w:hint="default"/>
          <w:lang w:val="en-US" w:eastAsia="zh-CN"/>
        </w:rPr>
        <w:t>储存</w:t>
      </w:r>
      <w:r>
        <w:rPr>
          <w:rFonts w:hint="eastAsia"/>
          <w:lang w:val="en-US" w:eastAsia="zh-CN"/>
        </w:rPr>
        <w:t>、</w:t>
      </w:r>
      <w:r>
        <w:rPr>
          <w:rFonts w:hint="default"/>
          <w:lang w:val="en-US" w:eastAsia="zh-CN"/>
        </w:rPr>
        <w:t>运输</w:t>
      </w:r>
      <w:r>
        <w:rPr>
          <w:rFonts w:hint="eastAsia"/>
          <w:lang w:val="en-US" w:eastAsia="zh-CN"/>
        </w:rPr>
        <w:t>和销售</w:t>
      </w:r>
      <w:bookmarkEnd w:id="36"/>
      <w:bookmarkEnd w:id="37"/>
    </w:p>
    <w:p>
      <w:pPr>
        <w:pStyle w:val="25"/>
        <w:numPr>
          <w:ilvl w:val="2"/>
          <w:numId w:val="0"/>
        </w:numPr>
        <w:wordWrap/>
        <w:adjustRightInd/>
        <w:snapToGrid/>
        <w:spacing w:before="157" w:beforeLines="50" w:after="157" w:afterLines="50" w:line="240" w:lineRule="auto"/>
        <w:ind w:leftChars="0"/>
        <w:textAlignment w:val="auto"/>
        <w:rPr>
          <w:rFonts w:hint="eastAsia" w:ascii="黑体" w:hAnsi="黑体" w:eastAsia="黑体" w:cs="黑体"/>
          <w:lang w:val="en-US" w:eastAsia="zh-CN"/>
        </w:rPr>
      </w:pPr>
      <w:bookmarkStart w:id="38" w:name="_Toc26098"/>
      <w:r>
        <w:rPr>
          <w:rFonts w:hint="eastAsia" w:ascii="黑体" w:hAnsi="黑体" w:eastAsia="黑体" w:cs="黑体"/>
          <w:lang w:val="en-US" w:eastAsia="zh-CN"/>
        </w:rPr>
        <w:t>9.1  包装</w:t>
      </w:r>
      <w:bookmarkEnd w:id="38"/>
    </w:p>
    <w:p>
      <w:pPr>
        <w:pStyle w:val="23"/>
        <w:numPr>
          <w:ilvl w:val="0"/>
          <w:numId w:val="0"/>
        </w:numPr>
        <w:wordWrap/>
        <w:adjustRightInd/>
        <w:snapToGrid/>
        <w:spacing w:before="157" w:beforeLines="50" w:after="157" w:afterLines="50" w:line="240" w:lineRule="auto"/>
        <w:ind w:leftChars="0"/>
        <w:textAlignment w:val="auto"/>
        <w:rPr>
          <w:rFonts w:hint="default" w:ascii="Times New Roman" w:hAnsi="Times New Roman" w:cs="Times New Roman"/>
        </w:rPr>
      </w:pPr>
      <w:r>
        <w:rPr>
          <w:rFonts w:hint="eastAsia" w:ascii="黑体" w:hAnsi="黑体" w:eastAsia="黑体" w:cs="黑体"/>
          <w:sz w:val="21"/>
          <w:lang w:val="en-US" w:eastAsia="zh-CN" w:bidi="ar-SA"/>
        </w:rPr>
        <w:t xml:space="preserve">9.1.1 </w:t>
      </w:r>
      <w:r>
        <w:rPr>
          <w:rFonts w:hint="eastAsia" w:ascii="Times New Roman" w:cs="Times New Roman"/>
          <w:lang w:val="en-US" w:eastAsia="zh-CN"/>
        </w:rPr>
        <w:t xml:space="preserve"> 应符合</w:t>
      </w:r>
      <w:r>
        <w:rPr>
          <w:rFonts w:hint="default" w:ascii="Times New Roman" w:hAnsi="Times New Roman" w:cs="Times New Roman"/>
        </w:rPr>
        <w:t>GB/T</w:t>
      </w:r>
      <w:r>
        <w:rPr>
          <w:rFonts w:hint="eastAsia" w:ascii="Times New Roman" w:cs="Times New Roman"/>
          <w:lang w:val="en-US" w:eastAsia="zh-CN"/>
        </w:rPr>
        <w:t xml:space="preserve"> 17374及国家有关</w:t>
      </w:r>
      <w:r>
        <w:rPr>
          <w:rFonts w:hint="default" w:ascii="Times New Roman" w:hAnsi="Times New Roman" w:cs="Times New Roman"/>
        </w:rPr>
        <w:t>的规定和要求。</w:t>
      </w:r>
    </w:p>
    <w:p>
      <w:pPr>
        <w:pStyle w:val="23"/>
        <w:numPr>
          <w:ilvl w:val="0"/>
          <w:numId w:val="0"/>
        </w:numPr>
        <w:wordWrap/>
        <w:adjustRightInd/>
        <w:snapToGrid/>
        <w:spacing w:before="157" w:beforeLines="50" w:after="157" w:afterLines="50" w:line="240" w:lineRule="auto"/>
        <w:ind w:leftChars="0"/>
        <w:textAlignment w:val="auto"/>
        <w:rPr>
          <w:rFonts w:hint="default" w:ascii="Times New Roman" w:hAnsi="Times New Roman" w:cs="Times New Roman"/>
        </w:rPr>
      </w:pPr>
      <w:r>
        <w:rPr>
          <w:rFonts w:hint="eastAsia" w:ascii="黑体" w:hAnsi="黑体" w:eastAsia="黑体" w:cs="黑体"/>
          <w:sz w:val="21"/>
          <w:lang w:val="en-US" w:eastAsia="zh-CN" w:bidi="ar-SA"/>
        </w:rPr>
        <w:t xml:space="preserve">9.1.2 </w:t>
      </w:r>
      <w:r>
        <w:rPr>
          <w:rFonts w:hint="default" w:ascii="Times New Roman" w:hAnsi="Times New Roman" w:cs="Times New Roman"/>
          <w:lang w:eastAsia="zh-CN"/>
        </w:rPr>
        <w:t>包装物包装储运标识应符合</w:t>
      </w:r>
      <w:r>
        <w:rPr>
          <w:rFonts w:hint="default" w:ascii="Times New Roman" w:hAnsi="Times New Roman" w:cs="Times New Roman"/>
          <w:lang w:val="en-US" w:eastAsia="zh-CN"/>
        </w:rPr>
        <w:t>GB/T 191的要求。</w:t>
      </w:r>
    </w:p>
    <w:p>
      <w:pPr>
        <w:pStyle w:val="23"/>
        <w:numPr>
          <w:ilvl w:val="0"/>
          <w:numId w:val="0"/>
        </w:numPr>
        <w:wordWrap/>
        <w:adjustRightInd/>
        <w:snapToGrid/>
        <w:spacing w:before="157" w:beforeLines="50" w:after="157" w:afterLines="50" w:line="240" w:lineRule="auto"/>
        <w:ind w:leftChars="0"/>
        <w:textAlignment w:val="auto"/>
        <w:rPr>
          <w:rFonts w:hint="eastAsia" w:ascii="Times New Roman" w:hAnsi="Times New Roman" w:eastAsia="黑体" w:cs="Times New Roman"/>
          <w:sz w:val="21"/>
          <w:lang w:val="en-US" w:eastAsia="zh-CN" w:bidi="ar-SA"/>
        </w:rPr>
      </w:pPr>
      <w:r>
        <w:rPr>
          <w:rFonts w:hint="eastAsia" w:ascii="黑体" w:hAnsi="黑体" w:eastAsia="黑体" w:cs="黑体"/>
          <w:sz w:val="21"/>
          <w:lang w:val="en-US" w:eastAsia="zh-CN" w:bidi="ar-SA"/>
        </w:rPr>
        <w:t xml:space="preserve">9.2 </w:t>
      </w:r>
      <w:r>
        <w:rPr>
          <w:rFonts w:hint="eastAsia" w:ascii="Times New Roman" w:hAnsi="Times New Roman" w:eastAsia="黑体" w:cs="Times New Roman"/>
          <w:sz w:val="21"/>
          <w:lang w:val="en-US" w:eastAsia="zh-CN" w:bidi="ar-SA"/>
        </w:rPr>
        <w:t xml:space="preserve"> 储存</w:t>
      </w:r>
    </w:p>
    <w:p>
      <w:pPr>
        <w:pStyle w:val="23"/>
        <w:numPr>
          <w:ilvl w:val="0"/>
          <w:numId w:val="0"/>
        </w:numPr>
        <w:wordWrap/>
        <w:adjustRightInd/>
        <w:snapToGrid/>
        <w:spacing w:before="157" w:beforeLines="50" w:after="157" w:afterLines="50" w:line="240" w:lineRule="auto"/>
        <w:ind w:leftChars="0"/>
        <w:textAlignment w:val="auto"/>
        <w:rPr>
          <w:rFonts w:hint="default" w:ascii="Times New Roman" w:cs="Times New Roman"/>
          <w:lang w:val="en-US" w:eastAsia="zh-CN"/>
        </w:rPr>
      </w:pPr>
      <w:r>
        <w:rPr>
          <w:rFonts w:hint="eastAsia" w:ascii="Times New Roman" w:cs="Times New Roman"/>
          <w:lang w:val="en-US" w:eastAsia="zh-CN"/>
        </w:rPr>
        <w:t xml:space="preserve">    应储存在阴凉、干燥及避光处，不得与有毒有害物质一同存放。</w:t>
      </w:r>
    </w:p>
    <w:p>
      <w:pPr>
        <w:pStyle w:val="25"/>
        <w:numPr>
          <w:ilvl w:val="2"/>
          <w:numId w:val="0"/>
        </w:numPr>
        <w:wordWrap/>
        <w:adjustRightInd/>
        <w:snapToGrid/>
        <w:spacing w:before="157" w:beforeLines="50" w:after="157" w:afterLines="50" w:line="240" w:lineRule="auto"/>
        <w:ind w:leftChars="0"/>
        <w:textAlignment w:val="auto"/>
        <w:rPr>
          <w:rFonts w:hint="eastAsia" w:ascii="黑体" w:hAnsi="黑体" w:eastAsia="黑体" w:cs="黑体"/>
          <w:lang w:val="en-US" w:eastAsia="zh-CN"/>
        </w:rPr>
      </w:pPr>
      <w:bookmarkStart w:id="39" w:name="_Toc4186"/>
      <w:r>
        <w:rPr>
          <w:rFonts w:hint="eastAsia" w:ascii="黑体" w:hAnsi="黑体" w:eastAsia="黑体" w:cs="黑体"/>
          <w:lang w:val="en-US" w:eastAsia="zh-CN"/>
        </w:rPr>
        <w:t>9.3    运输</w:t>
      </w:r>
      <w:bookmarkEnd w:id="39"/>
      <w:r>
        <w:rPr>
          <w:rFonts w:hint="eastAsia" w:ascii="黑体" w:hAnsi="黑体" w:eastAsia="黑体" w:cs="黑体"/>
          <w:lang w:val="en-US" w:eastAsia="zh-CN"/>
        </w:rPr>
        <w:t xml:space="preserve"> </w:t>
      </w:r>
    </w:p>
    <w:p>
      <w:pPr>
        <w:numPr>
          <w:ilvl w:val="0"/>
          <w:numId w:val="0"/>
        </w:numPr>
        <w:wordWrap/>
        <w:adjustRightInd/>
        <w:snapToGrid/>
        <w:spacing w:before="157" w:beforeLines="50" w:after="157" w:afterLines="50" w:line="240" w:lineRule="auto"/>
        <w:ind w:leftChars="0"/>
        <w:textAlignment w:val="auto"/>
        <w:rPr>
          <w:rFonts w:hint="eastAsia" w:ascii="Times New Roman" w:hAnsi="Times New Roman" w:eastAsia="宋体" w:cs="Times New Roman"/>
          <w:kern w:val="0"/>
          <w:sz w:val="21"/>
          <w:szCs w:val="20"/>
          <w:lang w:val="en-US" w:eastAsia="zh-CN" w:bidi="ar-SA"/>
        </w:rPr>
      </w:pPr>
      <w:r>
        <w:rPr>
          <w:rFonts w:hint="eastAsia" w:ascii="黑体" w:hAnsi="黑体" w:eastAsia="黑体" w:cs="黑体"/>
          <w:kern w:val="0"/>
          <w:sz w:val="21"/>
          <w:szCs w:val="20"/>
          <w:lang w:val="en-US" w:eastAsia="zh-CN" w:bidi="ar-SA"/>
        </w:rPr>
        <w:t xml:space="preserve">9.3.1 </w:t>
      </w:r>
      <w:r>
        <w:rPr>
          <w:rFonts w:hint="eastAsia" w:ascii="Times New Roman" w:hAnsi="Times New Roman" w:cs="Times New Roman"/>
          <w:szCs w:val="21"/>
          <w:highlight w:val="none"/>
          <w:lang w:val="en-US" w:eastAsia="zh-CN"/>
        </w:rPr>
        <w:t xml:space="preserve"> </w:t>
      </w:r>
      <w:r>
        <w:rPr>
          <w:rFonts w:hint="eastAsia" w:ascii="Times New Roman" w:hAnsi="Times New Roman" w:eastAsia="宋体" w:cs="Times New Roman"/>
          <w:kern w:val="0"/>
          <w:sz w:val="21"/>
          <w:szCs w:val="20"/>
          <w:lang w:val="en-US" w:eastAsia="zh-CN" w:bidi="ar-SA"/>
        </w:rPr>
        <w:t>运输车辆和器具应保持清洁、卫生。运输中应注意安全，防止日晒、雨淋、渗漏、污染和标签脱落</w:t>
      </w:r>
      <w:r>
        <w:rPr>
          <w:rFonts w:hint="default" w:ascii="Times New Roman" w:hAnsi="Times New Roman" w:eastAsia="宋体" w:cs="Times New Roman"/>
          <w:kern w:val="0"/>
          <w:sz w:val="21"/>
          <w:szCs w:val="20"/>
          <w:lang w:val="en-US" w:eastAsia="zh-CN" w:bidi="ar-SA"/>
        </w:rPr>
        <w:t>。</w:t>
      </w:r>
      <w:r>
        <w:rPr>
          <w:rFonts w:hint="eastAsia" w:ascii="Times New Roman" w:hAnsi="Times New Roman" w:eastAsia="宋体" w:cs="Times New Roman"/>
          <w:kern w:val="0"/>
          <w:sz w:val="21"/>
          <w:szCs w:val="20"/>
          <w:lang w:val="en-US" w:eastAsia="zh-CN" w:bidi="ar-SA"/>
        </w:rPr>
        <w:t>不得与有毒有害物质同车运输。</w:t>
      </w:r>
    </w:p>
    <w:p>
      <w:pPr>
        <w:numPr>
          <w:ilvl w:val="0"/>
          <w:numId w:val="0"/>
        </w:numPr>
        <w:wordWrap/>
        <w:adjustRightInd/>
        <w:snapToGrid/>
        <w:spacing w:before="157" w:beforeLines="50" w:after="157" w:afterLines="50" w:line="240" w:lineRule="auto"/>
        <w:ind w:leftChars="0"/>
        <w:textAlignment w:val="auto"/>
        <w:rPr>
          <w:rFonts w:hint="default" w:ascii="Times New Roman" w:hAnsi="Times New Roman" w:eastAsia="宋体" w:cs="Times New Roman"/>
          <w:kern w:val="0"/>
          <w:sz w:val="21"/>
          <w:szCs w:val="20"/>
          <w:lang w:val="en-US" w:eastAsia="zh-CN" w:bidi="ar-SA"/>
        </w:rPr>
      </w:pPr>
      <w:r>
        <w:rPr>
          <w:rFonts w:hint="eastAsia" w:ascii="黑体" w:hAnsi="黑体" w:eastAsia="黑体" w:cs="黑体"/>
          <w:kern w:val="0"/>
          <w:sz w:val="21"/>
          <w:szCs w:val="20"/>
          <w:lang w:val="en-US" w:eastAsia="zh-CN" w:bidi="ar-SA"/>
        </w:rPr>
        <w:t xml:space="preserve">9.3.2 </w:t>
      </w:r>
      <w:r>
        <w:rPr>
          <w:rFonts w:hint="eastAsia" w:ascii="Times New Roman" w:hAnsi="Times New Roman" w:eastAsia="宋体" w:cs="Times New Roman"/>
          <w:kern w:val="0"/>
          <w:sz w:val="21"/>
          <w:szCs w:val="20"/>
          <w:lang w:val="en-US" w:eastAsia="zh-CN" w:bidi="ar-SA"/>
        </w:rPr>
        <w:t xml:space="preserve"> 散装运输应符合GB/T 30354的要求。</w:t>
      </w:r>
    </w:p>
    <w:p>
      <w:pPr>
        <w:pStyle w:val="25"/>
        <w:numPr>
          <w:ilvl w:val="2"/>
          <w:numId w:val="0"/>
        </w:numPr>
        <w:wordWrap/>
        <w:adjustRightInd/>
        <w:snapToGrid/>
        <w:spacing w:before="157" w:beforeLines="50" w:after="157" w:afterLines="50" w:line="240" w:lineRule="auto"/>
        <w:ind w:leftChars="0"/>
        <w:textAlignment w:val="auto"/>
        <w:rPr>
          <w:rFonts w:hint="eastAsia" w:ascii="黑体" w:hAnsi="黑体" w:eastAsia="黑体" w:cs="黑体"/>
          <w:lang w:val="en-US" w:eastAsia="zh-CN"/>
        </w:rPr>
      </w:pPr>
      <w:bookmarkStart w:id="40" w:name="_Toc13002"/>
      <w:r>
        <w:rPr>
          <w:rFonts w:hint="eastAsia" w:ascii="黑体" w:hAnsi="黑体" w:eastAsia="黑体" w:cs="黑体"/>
          <w:lang w:val="en-US" w:eastAsia="zh-CN"/>
        </w:rPr>
        <w:t>9.4  销售</w:t>
      </w:r>
      <w:bookmarkEnd w:id="40"/>
    </w:p>
    <w:p>
      <w:pPr>
        <w:numPr>
          <w:ilvl w:val="0"/>
          <w:numId w:val="0"/>
        </w:numPr>
        <w:wordWrap/>
        <w:adjustRightInd/>
        <w:snapToGrid/>
        <w:spacing w:before="157" w:beforeLines="50" w:after="157" w:afterLines="50" w:line="240" w:lineRule="auto"/>
        <w:ind w:firstLine="420" w:firstLineChars="200"/>
        <w:textAlignment w:val="auto"/>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桓仁山核桃油在零食终端不得脱离原包装散装销售。</w:t>
      </w:r>
      <w:r>
        <w:rPr>
          <w:rFonts w:hint="default" w:ascii="Times New Roman" w:hAnsi="Times New Roman" w:eastAsia="宋体" w:cs="Times New Roman"/>
          <w:kern w:val="0"/>
          <w:sz w:val="21"/>
          <w:szCs w:val="20"/>
          <w:lang w:val="en-US" w:eastAsia="zh-CN" w:bidi="ar-SA"/>
        </w:rPr>
        <w:t xml:space="preserve">  </w:t>
      </w:r>
    </w:p>
    <w:p>
      <w:pPr>
        <w:rPr>
          <w:rFonts w:hint="eastAsia"/>
          <w:kern w:val="0"/>
          <w:sz w:val="28"/>
          <w:szCs w:val="28"/>
        </w:rPr>
      </w:pPr>
    </w:p>
    <w:p>
      <w:pPr>
        <w:rPr>
          <w:rFonts w:hint="eastAsia"/>
          <w:kern w:val="0"/>
          <w:sz w:val="28"/>
          <w:szCs w:val="28"/>
        </w:rPr>
      </w:pPr>
    </w:p>
    <w:p>
      <w:pPr>
        <w:rPr>
          <w:rFonts w:hint="eastAsia"/>
          <w:kern w:val="0"/>
          <w:sz w:val="28"/>
          <w:szCs w:val="28"/>
        </w:rPr>
      </w:pPr>
    </w:p>
    <w:p>
      <w:pPr>
        <w:spacing w:line="340" w:lineRule="exact"/>
        <w:ind w:firstLine="4305" w:firstLineChars="2050"/>
        <w:rPr>
          <w:rFonts w:hint="eastAsia" w:ascii="黑体" w:hAnsi="宋体" w:eastAsia="黑体"/>
          <w:szCs w:val="21"/>
        </w:rPr>
      </w:pPr>
      <w:r>
        <w:rPr>
          <w:rFonts w:hint="eastAsia" w:ascii="黑体" w:hAnsi="宋体" w:eastAsia="黑体"/>
          <w:szCs w:val="21"/>
        </w:rPr>
        <w:t>附 录 A</w:t>
      </w:r>
    </w:p>
    <w:p>
      <w:pPr>
        <w:spacing w:line="340" w:lineRule="exact"/>
        <w:jc w:val="center"/>
        <w:rPr>
          <w:rFonts w:hint="eastAsia" w:ascii="黑体" w:hAnsi="宋体" w:eastAsia="黑体"/>
          <w:szCs w:val="21"/>
        </w:rPr>
      </w:pPr>
      <w:r>
        <w:rPr>
          <w:rFonts w:hint="eastAsia" w:ascii="黑体" w:hAnsi="宋体" w:eastAsia="黑体"/>
          <w:szCs w:val="21"/>
        </w:rPr>
        <w:t xml:space="preserve"> （规范性附录）</w:t>
      </w:r>
    </w:p>
    <w:p>
      <w:pPr>
        <w:spacing w:line="340" w:lineRule="exact"/>
        <w:jc w:val="center"/>
        <w:rPr>
          <w:rFonts w:hint="eastAsia" w:ascii="黑体" w:hAnsi="宋体" w:eastAsia="黑体"/>
          <w:szCs w:val="21"/>
        </w:rPr>
      </w:pPr>
      <w:r>
        <w:rPr>
          <w:rFonts w:hint="eastAsia" w:ascii="黑体" w:hAnsi="宋体" w:eastAsia="黑体"/>
          <w:szCs w:val="21"/>
        </w:rPr>
        <w:t>桓仁</w:t>
      </w:r>
      <w:r>
        <w:rPr>
          <w:rFonts w:hint="eastAsia" w:ascii="黑体" w:hAnsi="宋体" w:eastAsia="黑体"/>
          <w:szCs w:val="21"/>
          <w:lang w:eastAsia="zh-CN"/>
        </w:rPr>
        <w:t>山核桃油</w:t>
      </w:r>
      <w:r>
        <w:rPr>
          <w:rFonts w:hint="eastAsia" w:ascii="黑体" w:hAnsi="宋体" w:eastAsia="黑体"/>
          <w:szCs w:val="21"/>
        </w:rPr>
        <w:t>地理标志地域范围图</w:t>
      </w:r>
    </w:p>
    <w:p>
      <w:pPr>
        <w:spacing w:line="360" w:lineRule="auto"/>
        <w:rPr>
          <w:rFonts w:hint="default" w:ascii="Times New Roman" w:hAnsi="Times New Roman" w:eastAsia="宋体" w:cs="Times New Roman"/>
          <w:szCs w:val="21"/>
          <w:lang w:val="en-US" w:eastAsia="zh-CN"/>
        </w:rPr>
      </w:pPr>
    </w:p>
    <w:p>
      <w:pPr>
        <w:spacing w:line="360" w:lineRule="auto"/>
        <w:jc w:val="both"/>
        <w:rPr>
          <w:rFonts w:hint="eastAsia" w:ascii="黑体" w:hAnsi="黑体" w:eastAsia="黑体"/>
          <w:szCs w:val="21"/>
          <w:u w:val="thick"/>
          <w:lang w:eastAsia="zh-CN"/>
        </w:rPr>
      </w:pPr>
      <w:r>
        <w:rPr>
          <w:rFonts w:hint="eastAsia" w:ascii="黑体" w:hAnsi="黑体" w:eastAsia="黑体" w:cs="黑体"/>
          <w:kern w:val="2"/>
          <w:sz w:val="21"/>
          <w:szCs w:val="21"/>
          <w:u w:val="thick"/>
          <w:lang w:val="en-US" w:eastAsia="zh-CN" w:bidi="ar-SA"/>
        </w:rPr>
        <w:pict>
          <v:shape id="_x0000_i1025" o:spt="75" type="#_x0000_t75" style="height:382.45pt;width:467.7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sectPr>
      <w:headerReference r:id="rId11" w:type="even"/>
      <w:pgSz w:w="11906" w:h="16838"/>
      <w:pgMar w:top="1418" w:right="1134" w:bottom="1418" w:left="1418" w:header="1417" w:footer="1134"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Light">
    <w:altName w:val="汉仪中宋简"/>
    <w:panose1 w:val="02010600030101010101"/>
    <w:charset w:val="86"/>
    <w:family w:val="auto"/>
    <w:pitch w:val="default"/>
    <w:sig w:usb0="00000000" w:usb1="00000000" w:usb2="00000016" w:usb3="00000000" w:csb0="0004000F" w:csb1="00000000"/>
  </w:font>
  <w:font w:name="Bold">
    <w:altName w:val="Noto Sans CJK HK"/>
    <w:panose1 w:val="00000000000000000000"/>
    <w:charset w:val="00"/>
    <w:family w:val="auto"/>
    <w:pitch w:val="default"/>
    <w:sig w:usb0="00000000" w:usb1="00000000" w:usb2="00000000" w:usb3="00000000" w:csb0="00040001" w:csb1="00000000"/>
  </w:font>
  <w:font w:name="Mongolian Baiti">
    <w:altName w:val="DejaVu Math TeX Gyre"/>
    <w:panose1 w:val="03000500000000000000"/>
    <w:charset w:val="00"/>
    <w:family w:val="auto"/>
    <w:pitch w:val="default"/>
    <w:sig w:usb0="00000000" w:usb1="00000000" w:usb2="00020000" w:usb3="00000000" w:csb0="00000001" w:csb1="00000000"/>
  </w:font>
  <w:font w:name="Verdana">
    <w:altName w:val="Ubuntu"/>
    <w:panose1 w:val="020B0604030504040204"/>
    <w:charset w:val="00"/>
    <w:family w:val="auto"/>
    <w:pitch w:val="default"/>
    <w:sig w:usb0="00000000" w:usb1="00000000" w:usb2="00000010" w:usb3="00000000" w:csb0="2000019F"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Noto Sans CJK HK">
    <w:panose1 w:val="020B0600000000000000"/>
    <w:charset w:val="88"/>
    <w:family w:val="auto"/>
    <w:pitch w:val="default"/>
    <w:sig w:usb0="30000083" w:usb1="2BDF3C10" w:usb2="00000016" w:usb3="00000000" w:csb0="603A0107" w:csb1="00000000"/>
  </w:font>
  <w:font w:name="Ubuntu">
    <w:panose1 w:val="020B0604030602030204"/>
    <w:charset w:val="00"/>
    <w:family w:val="auto"/>
    <w:pitch w:val="default"/>
    <w:sig w:usb0="E00002FF" w:usb1="5000205B" w:usb2="00000000" w:usb3="00000000" w:csb0="2000009F" w:csb1="5601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2</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7</w:t>
    </w:r>
    <w:r>
      <w:fldChar w:fldCharType="end"/>
    </w: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PAGE   \* MERGEFORMAT</w:instrText>
    </w:r>
    <w:r>
      <w:fldChar w:fldCharType="separate"/>
    </w:r>
    <w:r>
      <w:rPr>
        <w:lang w:val="zh-CN"/>
      </w:rPr>
      <w:t>6</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r>
      <w:rPr>
        <w:rFonts w:hint="eastAsia" w:ascii="宋体" w:hAnsi="宋体" w:eastAsia="宋体" w:cs="宋体"/>
        <w:szCs w:val="21"/>
      </w:rPr>
      <w:t>DB</w:t>
    </w:r>
    <w:r>
      <w:rPr>
        <w:rFonts w:hint="eastAsia" w:ascii="宋体" w:hAnsi="宋体" w:eastAsia="宋体" w:cs="宋体"/>
        <w:szCs w:val="21"/>
        <w:lang w:val="en-US" w:eastAsia="zh-CN"/>
      </w:rPr>
      <w:t>2105</w:t>
    </w:r>
    <w:r>
      <w:rPr>
        <w:rFonts w:hint="eastAsia" w:ascii="宋体" w:hAnsi="宋体" w:eastAsia="宋体" w:cs="宋体"/>
        <w:szCs w:val="21"/>
      </w:rPr>
      <w:t xml:space="preserve">/T </w:t>
    </w:r>
    <w:r>
      <w:rPr>
        <w:rFonts w:hint="eastAsia" w:ascii="宋体" w:hAnsi="宋体" w:eastAsia="宋体" w:cs="宋体"/>
        <w:szCs w:val="21"/>
        <w:lang w:val="en-US" w:eastAsia="zh-CN"/>
      </w:rPr>
      <w:t xml:space="preserve">   </w:t>
    </w:r>
    <w:r>
      <w:rPr>
        <w:rFonts w:hint="eastAsia" w:ascii="宋体" w:hAnsi="宋体" w:eastAsia="宋体" w:cs="宋体"/>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rPr>
        <w:rFonts w:ascii="黑体" w:hAnsi="黑体" w:eastAsia="黑体"/>
        <w:sz w:val="21"/>
        <w:szCs w:val="21"/>
      </w:rPr>
    </w:pPr>
    <w:r>
      <w:rPr>
        <w:rFonts w:hint="eastAsia" w:ascii="黑体" w:hAnsi="黑体" w:eastAsia="黑体"/>
        <w:sz w:val="21"/>
        <w:szCs w:val="21"/>
      </w:rPr>
      <w:t>D</w:t>
    </w:r>
    <w:r>
      <w:rPr>
        <w:rFonts w:ascii="黑体" w:hAnsi="黑体" w:eastAsia="黑体"/>
        <w:sz w:val="21"/>
        <w:szCs w:val="21"/>
      </w:rPr>
      <w:t xml:space="preserve">B/T </w:t>
    </w:r>
    <w:r>
      <w:rPr>
        <w:rFonts w:hint="eastAsia" w:ascii="黑体" w:hAnsi="黑体" w:eastAsia="黑体"/>
        <w:sz w:val="21"/>
        <w:szCs w:val="21"/>
      </w:rPr>
      <w:t>代号-代号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center"/>
    </w:pPr>
    <w:r>
      <w:rPr>
        <w:rFonts w:hint="eastAsia" w:ascii="宋体" w:hAnsi="宋体" w:eastAsia="宋体" w:cs="宋体"/>
        <w:szCs w:val="21"/>
        <w:lang w:val="en-US" w:eastAsia="zh-CN"/>
      </w:rPr>
      <w:t xml:space="preserve">                                                                       </w:t>
    </w:r>
    <w:r>
      <w:rPr>
        <w:rFonts w:hint="eastAsia" w:ascii="宋体" w:hAnsi="宋体" w:eastAsia="宋体" w:cs="宋体"/>
        <w:szCs w:val="21"/>
      </w:rPr>
      <w:t>DB</w:t>
    </w:r>
    <w:r>
      <w:rPr>
        <w:rFonts w:hint="eastAsia" w:ascii="宋体" w:hAnsi="宋体" w:eastAsia="宋体" w:cs="宋体"/>
        <w:szCs w:val="21"/>
        <w:lang w:val="en-US" w:eastAsia="zh-CN"/>
      </w:rPr>
      <w:t>2105</w:t>
    </w:r>
    <w:r>
      <w:rPr>
        <w:rFonts w:hint="eastAsia" w:ascii="宋体" w:hAnsi="宋体" w:eastAsia="宋体" w:cs="宋体"/>
        <w:szCs w:val="21"/>
      </w:rPr>
      <w:t>/T</w:t>
    </w:r>
    <w:r>
      <w:rPr>
        <w:rFonts w:hint="eastAsia" w:ascii="宋体" w:hAnsi="宋体" w:eastAsia="宋体" w:cs="宋体"/>
        <w:szCs w:val="21"/>
        <w:lang w:val="en-US" w:eastAsia="zh-CN"/>
      </w:rPr>
      <w:t xml:space="preserve">  </w:t>
    </w:r>
    <w:r>
      <w:rPr>
        <w:rFonts w:hint="eastAsia" w:ascii="宋体" w:hAnsi="宋体" w:eastAsia="宋体" w:cs="宋体"/>
        <w:szCs w:val="2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4"/>
      <w:suff w:val="nothing"/>
      <w:lvlText w:val="%1%2　"/>
      <w:lvlJc w:val="left"/>
      <w:pPr>
        <w:ind w:left="0" w:firstLine="0"/>
      </w:pPr>
      <w:rPr>
        <w:rFonts w:hint="eastAsia" w:ascii="黑体" w:hAnsi="Times New Roman" w:eastAsia="黑体"/>
        <w:b w:val="0"/>
        <w:i w:val="0"/>
        <w:sz w:val="21"/>
      </w:rPr>
    </w:lvl>
    <w:lvl w:ilvl="2" w:tentative="0">
      <w:start w:val="1"/>
      <w:numFmt w:val="decimal"/>
      <w:pStyle w:val="25"/>
      <w:suff w:val="nothing"/>
      <w:lvlText w:val="%1%2.%3　"/>
      <w:lvlJc w:val="left"/>
      <w:pPr>
        <w:ind w:left="0" w:firstLine="0"/>
      </w:pPr>
      <w:rPr>
        <w:rFonts w:hint="eastAsia" w:ascii="黑体" w:hAnsi="Times New Roman" w:eastAsia="黑体"/>
        <w:b w:val="0"/>
        <w:i w:val="0"/>
        <w:sz w:val="21"/>
      </w:rPr>
    </w:lvl>
    <w:lvl w:ilvl="3" w:tentative="0">
      <w:start w:val="1"/>
      <w:numFmt w:val="decimal"/>
      <w:pStyle w:val="26"/>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true"/>
  <w:bordersDoNotSurroundHeader w:val="false"/>
  <w:bordersDoNotSurroundFooter w:val="false"/>
  <w:documentProtection w:enforcement="0"/>
  <w:defaultTabStop w:val="420"/>
  <w:evenAndOddHeaders w:val="true"/>
  <w:displayHorizontalDrawingGridEvery w:val="0"/>
  <w:displayVerticalDrawingGridEvery w:val="2"/>
  <w:characterSpacingControl w:val="doNotCompress"/>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jk0NjcyOTA4N2MzYTU3MDA5ODBkZWY4YzJiN2RjZjYifQ=="/>
  </w:docVars>
  <w:rsids>
    <w:rsidRoot w:val="00311DC2"/>
    <w:rsid w:val="000014BE"/>
    <w:rsid w:val="0000433E"/>
    <w:rsid w:val="00007B55"/>
    <w:rsid w:val="00020412"/>
    <w:rsid w:val="0002257D"/>
    <w:rsid w:val="000248EB"/>
    <w:rsid w:val="00030F21"/>
    <w:rsid w:val="00042E1F"/>
    <w:rsid w:val="00047006"/>
    <w:rsid w:val="00051CA0"/>
    <w:rsid w:val="00053883"/>
    <w:rsid w:val="000671A4"/>
    <w:rsid w:val="000714C6"/>
    <w:rsid w:val="00076FC4"/>
    <w:rsid w:val="00092D84"/>
    <w:rsid w:val="00092ECC"/>
    <w:rsid w:val="000A0F58"/>
    <w:rsid w:val="000A3280"/>
    <w:rsid w:val="000A76C8"/>
    <w:rsid w:val="000C3876"/>
    <w:rsid w:val="000D0340"/>
    <w:rsid w:val="000D3E9B"/>
    <w:rsid w:val="000D5584"/>
    <w:rsid w:val="000E2AF5"/>
    <w:rsid w:val="000E6683"/>
    <w:rsid w:val="000F0B9B"/>
    <w:rsid w:val="000F20F0"/>
    <w:rsid w:val="00114D38"/>
    <w:rsid w:val="00120E9B"/>
    <w:rsid w:val="00125114"/>
    <w:rsid w:val="00127172"/>
    <w:rsid w:val="00134118"/>
    <w:rsid w:val="00135ECE"/>
    <w:rsid w:val="00136A71"/>
    <w:rsid w:val="001468F9"/>
    <w:rsid w:val="00147639"/>
    <w:rsid w:val="00152339"/>
    <w:rsid w:val="00153FB9"/>
    <w:rsid w:val="0016020F"/>
    <w:rsid w:val="001813F4"/>
    <w:rsid w:val="00182A46"/>
    <w:rsid w:val="001840BE"/>
    <w:rsid w:val="00196C20"/>
    <w:rsid w:val="001A67DB"/>
    <w:rsid w:val="001B2D07"/>
    <w:rsid w:val="001C3A42"/>
    <w:rsid w:val="001C3E48"/>
    <w:rsid w:val="001C5CCF"/>
    <w:rsid w:val="001D0335"/>
    <w:rsid w:val="001D3300"/>
    <w:rsid w:val="001D7E1D"/>
    <w:rsid w:val="001E1412"/>
    <w:rsid w:val="002010CA"/>
    <w:rsid w:val="0020143D"/>
    <w:rsid w:val="002027F2"/>
    <w:rsid w:val="00206B61"/>
    <w:rsid w:val="00216CBC"/>
    <w:rsid w:val="00227A03"/>
    <w:rsid w:val="0023013D"/>
    <w:rsid w:val="0024081F"/>
    <w:rsid w:val="002430DB"/>
    <w:rsid w:val="0024508A"/>
    <w:rsid w:val="002547D9"/>
    <w:rsid w:val="00255C9C"/>
    <w:rsid w:val="00256F3D"/>
    <w:rsid w:val="00271431"/>
    <w:rsid w:val="00290680"/>
    <w:rsid w:val="002A4C3E"/>
    <w:rsid w:val="002A54A1"/>
    <w:rsid w:val="002B1208"/>
    <w:rsid w:val="002C2160"/>
    <w:rsid w:val="002C3C56"/>
    <w:rsid w:val="002D47F0"/>
    <w:rsid w:val="002E0C2A"/>
    <w:rsid w:val="002F2FAF"/>
    <w:rsid w:val="00303B4D"/>
    <w:rsid w:val="00305D51"/>
    <w:rsid w:val="00311DC2"/>
    <w:rsid w:val="0031465C"/>
    <w:rsid w:val="0031476A"/>
    <w:rsid w:val="00340A96"/>
    <w:rsid w:val="00340B60"/>
    <w:rsid w:val="003428AB"/>
    <w:rsid w:val="00344CE1"/>
    <w:rsid w:val="0034624C"/>
    <w:rsid w:val="00363EE3"/>
    <w:rsid w:val="00366346"/>
    <w:rsid w:val="003710A7"/>
    <w:rsid w:val="003761A5"/>
    <w:rsid w:val="0037754F"/>
    <w:rsid w:val="003846B5"/>
    <w:rsid w:val="00386538"/>
    <w:rsid w:val="00394050"/>
    <w:rsid w:val="00396E1A"/>
    <w:rsid w:val="003A1B8F"/>
    <w:rsid w:val="003A5485"/>
    <w:rsid w:val="003A778F"/>
    <w:rsid w:val="003A7D8A"/>
    <w:rsid w:val="003B7946"/>
    <w:rsid w:val="003D62D9"/>
    <w:rsid w:val="003E198E"/>
    <w:rsid w:val="003E1F5B"/>
    <w:rsid w:val="003E5768"/>
    <w:rsid w:val="003F01C2"/>
    <w:rsid w:val="00400D94"/>
    <w:rsid w:val="00403E16"/>
    <w:rsid w:val="00403F94"/>
    <w:rsid w:val="00411CEC"/>
    <w:rsid w:val="00414686"/>
    <w:rsid w:val="00430AE8"/>
    <w:rsid w:val="0044035C"/>
    <w:rsid w:val="00441AD6"/>
    <w:rsid w:val="004506F1"/>
    <w:rsid w:val="00455BBD"/>
    <w:rsid w:val="004754F6"/>
    <w:rsid w:val="004816DB"/>
    <w:rsid w:val="0049382B"/>
    <w:rsid w:val="00495721"/>
    <w:rsid w:val="00497522"/>
    <w:rsid w:val="004B00E3"/>
    <w:rsid w:val="004B2984"/>
    <w:rsid w:val="004B5413"/>
    <w:rsid w:val="004B646D"/>
    <w:rsid w:val="004C152B"/>
    <w:rsid w:val="004C49E2"/>
    <w:rsid w:val="00501A3B"/>
    <w:rsid w:val="0050540D"/>
    <w:rsid w:val="005060CE"/>
    <w:rsid w:val="00514DE3"/>
    <w:rsid w:val="00530579"/>
    <w:rsid w:val="00555A7E"/>
    <w:rsid w:val="005564E1"/>
    <w:rsid w:val="00561677"/>
    <w:rsid w:val="005663EC"/>
    <w:rsid w:val="00570E46"/>
    <w:rsid w:val="00593B44"/>
    <w:rsid w:val="00596A4A"/>
    <w:rsid w:val="005A4B30"/>
    <w:rsid w:val="005B2A36"/>
    <w:rsid w:val="005C043A"/>
    <w:rsid w:val="005D502E"/>
    <w:rsid w:val="005E23B4"/>
    <w:rsid w:val="005E4030"/>
    <w:rsid w:val="005E6D9C"/>
    <w:rsid w:val="005F45E9"/>
    <w:rsid w:val="005F6902"/>
    <w:rsid w:val="00602F12"/>
    <w:rsid w:val="00615943"/>
    <w:rsid w:val="00616DEA"/>
    <w:rsid w:val="0063199D"/>
    <w:rsid w:val="00633342"/>
    <w:rsid w:val="006442E3"/>
    <w:rsid w:val="00665245"/>
    <w:rsid w:val="00671545"/>
    <w:rsid w:val="00681A83"/>
    <w:rsid w:val="00682657"/>
    <w:rsid w:val="006827A6"/>
    <w:rsid w:val="006946BA"/>
    <w:rsid w:val="006A4BDB"/>
    <w:rsid w:val="006B727F"/>
    <w:rsid w:val="006C1040"/>
    <w:rsid w:val="006C57EA"/>
    <w:rsid w:val="006F6598"/>
    <w:rsid w:val="0072046F"/>
    <w:rsid w:val="00732602"/>
    <w:rsid w:val="007702E0"/>
    <w:rsid w:val="00770DE7"/>
    <w:rsid w:val="007768A9"/>
    <w:rsid w:val="00783C8B"/>
    <w:rsid w:val="007B6F9B"/>
    <w:rsid w:val="007B720E"/>
    <w:rsid w:val="007D5878"/>
    <w:rsid w:val="007E7637"/>
    <w:rsid w:val="007F55ED"/>
    <w:rsid w:val="00810FA7"/>
    <w:rsid w:val="008112D7"/>
    <w:rsid w:val="008313B7"/>
    <w:rsid w:val="00843FA5"/>
    <w:rsid w:val="00852380"/>
    <w:rsid w:val="00862A0D"/>
    <w:rsid w:val="008630B1"/>
    <w:rsid w:val="0086396D"/>
    <w:rsid w:val="00871615"/>
    <w:rsid w:val="00874ED2"/>
    <w:rsid w:val="0088629A"/>
    <w:rsid w:val="0089567F"/>
    <w:rsid w:val="008A77A2"/>
    <w:rsid w:val="008B40A9"/>
    <w:rsid w:val="008B5932"/>
    <w:rsid w:val="008C43C7"/>
    <w:rsid w:val="008C62AC"/>
    <w:rsid w:val="008C62EF"/>
    <w:rsid w:val="008D22B8"/>
    <w:rsid w:val="008D42B7"/>
    <w:rsid w:val="008D6815"/>
    <w:rsid w:val="008D7456"/>
    <w:rsid w:val="008D7960"/>
    <w:rsid w:val="008E0280"/>
    <w:rsid w:val="008E2275"/>
    <w:rsid w:val="008F13A4"/>
    <w:rsid w:val="008F68C8"/>
    <w:rsid w:val="00931D7A"/>
    <w:rsid w:val="0094339B"/>
    <w:rsid w:val="00946B79"/>
    <w:rsid w:val="0096721E"/>
    <w:rsid w:val="00970100"/>
    <w:rsid w:val="00980AE3"/>
    <w:rsid w:val="00980AF3"/>
    <w:rsid w:val="00981214"/>
    <w:rsid w:val="00986EC4"/>
    <w:rsid w:val="009874AE"/>
    <w:rsid w:val="009F6F5D"/>
    <w:rsid w:val="00A03F9D"/>
    <w:rsid w:val="00A10D8B"/>
    <w:rsid w:val="00A13F50"/>
    <w:rsid w:val="00A27C62"/>
    <w:rsid w:val="00A3369B"/>
    <w:rsid w:val="00A563C1"/>
    <w:rsid w:val="00A61F17"/>
    <w:rsid w:val="00A64D3D"/>
    <w:rsid w:val="00A744EA"/>
    <w:rsid w:val="00A77F39"/>
    <w:rsid w:val="00A908EE"/>
    <w:rsid w:val="00AB0BFA"/>
    <w:rsid w:val="00AD21FA"/>
    <w:rsid w:val="00AD4750"/>
    <w:rsid w:val="00AE2E1E"/>
    <w:rsid w:val="00AE31F0"/>
    <w:rsid w:val="00AE6B51"/>
    <w:rsid w:val="00AF7447"/>
    <w:rsid w:val="00B03152"/>
    <w:rsid w:val="00B04755"/>
    <w:rsid w:val="00B21885"/>
    <w:rsid w:val="00B22790"/>
    <w:rsid w:val="00B32292"/>
    <w:rsid w:val="00B44C9C"/>
    <w:rsid w:val="00B47AF9"/>
    <w:rsid w:val="00B53B62"/>
    <w:rsid w:val="00B5536E"/>
    <w:rsid w:val="00B70644"/>
    <w:rsid w:val="00B72158"/>
    <w:rsid w:val="00B736F3"/>
    <w:rsid w:val="00BA5AA9"/>
    <w:rsid w:val="00BB6A41"/>
    <w:rsid w:val="00BD2702"/>
    <w:rsid w:val="00BE368D"/>
    <w:rsid w:val="00BE6B72"/>
    <w:rsid w:val="00BF01AC"/>
    <w:rsid w:val="00C009B8"/>
    <w:rsid w:val="00C33244"/>
    <w:rsid w:val="00C337A2"/>
    <w:rsid w:val="00C370B8"/>
    <w:rsid w:val="00C455BB"/>
    <w:rsid w:val="00C56F29"/>
    <w:rsid w:val="00C609B8"/>
    <w:rsid w:val="00C6196F"/>
    <w:rsid w:val="00C61DA3"/>
    <w:rsid w:val="00C63787"/>
    <w:rsid w:val="00C76B76"/>
    <w:rsid w:val="00C76FB6"/>
    <w:rsid w:val="00CA6EBD"/>
    <w:rsid w:val="00CC45AD"/>
    <w:rsid w:val="00CC766C"/>
    <w:rsid w:val="00CF34F2"/>
    <w:rsid w:val="00D053D5"/>
    <w:rsid w:val="00D1038F"/>
    <w:rsid w:val="00D113EF"/>
    <w:rsid w:val="00D15312"/>
    <w:rsid w:val="00D16E07"/>
    <w:rsid w:val="00D20FCC"/>
    <w:rsid w:val="00D23167"/>
    <w:rsid w:val="00D25E53"/>
    <w:rsid w:val="00D31827"/>
    <w:rsid w:val="00D452B6"/>
    <w:rsid w:val="00D51398"/>
    <w:rsid w:val="00D53258"/>
    <w:rsid w:val="00D55A90"/>
    <w:rsid w:val="00D63A14"/>
    <w:rsid w:val="00D6591C"/>
    <w:rsid w:val="00D773AD"/>
    <w:rsid w:val="00D817D0"/>
    <w:rsid w:val="00D8709F"/>
    <w:rsid w:val="00D905D0"/>
    <w:rsid w:val="00D90BFB"/>
    <w:rsid w:val="00D9637F"/>
    <w:rsid w:val="00DA4320"/>
    <w:rsid w:val="00DB237D"/>
    <w:rsid w:val="00DB23B6"/>
    <w:rsid w:val="00DD588C"/>
    <w:rsid w:val="00DD5AED"/>
    <w:rsid w:val="00DE31A3"/>
    <w:rsid w:val="00DF39DF"/>
    <w:rsid w:val="00E03A40"/>
    <w:rsid w:val="00E05EA3"/>
    <w:rsid w:val="00E14488"/>
    <w:rsid w:val="00E14E63"/>
    <w:rsid w:val="00E24272"/>
    <w:rsid w:val="00E33918"/>
    <w:rsid w:val="00E47C35"/>
    <w:rsid w:val="00E50A54"/>
    <w:rsid w:val="00E55C3F"/>
    <w:rsid w:val="00E62572"/>
    <w:rsid w:val="00E6283C"/>
    <w:rsid w:val="00E713E1"/>
    <w:rsid w:val="00E74542"/>
    <w:rsid w:val="00EA1354"/>
    <w:rsid w:val="00EA20D5"/>
    <w:rsid w:val="00EA3EA1"/>
    <w:rsid w:val="00EB1AC8"/>
    <w:rsid w:val="00EB5F72"/>
    <w:rsid w:val="00ED0C5C"/>
    <w:rsid w:val="00EF0881"/>
    <w:rsid w:val="00EF2FCC"/>
    <w:rsid w:val="00F0627B"/>
    <w:rsid w:val="00F12C7A"/>
    <w:rsid w:val="00F212C9"/>
    <w:rsid w:val="00F2135C"/>
    <w:rsid w:val="00F275FF"/>
    <w:rsid w:val="00F34B03"/>
    <w:rsid w:val="00F356B1"/>
    <w:rsid w:val="00F37DAC"/>
    <w:rsid w:val="00F6196A"/>
    <w:rsid w:val="00F620B4"/>
    <w:rsid w:val="00F62786"/>
    <w:rsid w:val="00F63560"/>
    <w:rsid w:val="00F7584F"/>
    <w:rsid w:val="00F82299"/>
    <w:rsid w:val="00FA4199"/>
    <w:rsid w:val="00FA437B"/>
    <w:rsid w:val="00FB5F99"/>
    <w:rsid w:val="00FD0043"/>
    <w:rsid w:val="00FD284F"/>
    <w:rsid w:val="00FE03D7"/>
    <w:rsid w:val="00FE204E"/>
    <w:rsid w:val="00FF2A1C"/>
    <w:rsid w:val="00FF2CD5"/>
    <w:rsid w:val="00FF4C46"/>
    <w:rsid w:val="043F5452"/>
    <w:rsid w:val="05CB2263"/>
    <w:rsid w:val="05F824FB"/>
    <w:rsid w:val="0AD74522"/>
    <w:rsid w:val="0AFC1982"/>
    <w:rsid w:val="0D7D79D2"/>
    <w:rsid w:val="0F4705BF"/>
    <w:rsid w:val="114E07B9"/>
    <w:rsid w:val="17CB50D0"/>
    <w:rsid w:val="17E119DD"/>
    <w:rsid w:val="1CFC4462"/>
    <w:rsid w:val="21276A42"/>
    <w:rsid w:val="27830D9D"/>
    <w:rsid w:val="2906151C"/>
    <w:rsid w:val="2EBA4261"/>
    <w:rsid w:val="2FCE6D86"/>
    <w:rsid w:val="30E15A88"/>
    <w:rsid w:val="3887305C"/>
    <w:rsid w:val="43513780"/>
    <w:rsid w:val="441714CA"/>
    <w:rsid w:val="489A635D"/>
    <w:rsid w:val="545F6245"/>
    <w:rsid w:val="547D391D"/>
    <w:rsid w:val="5BFF2296"/>
    <w:rsid w:val="5DED5F5B"/>
    <w:rsid w:val="61372420"/>
    <w:rsid w:val="61DB49FA"/>
    <w:rsid w:val="62116425"/>
    <w:rsid w:val="631C577D"/>
    <w:rsid w:val="6B642851"/>
    <w:rsid w:val="6F2B5C38"/>
    <w:rsid w:val="6F780A30"/>
    <w:rsid w:val="6FDE2BB1"/>
    <w:rsid w:val="70D75906"/>
    <w:rsid w:val="798C24B9"/>
    <w:rsid w:val="7FD41CE7"/>
    <w:rsid w:val="BD3F77B6"/>
    <w:rsid w:val="D7CF1F2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黑体"/>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uto"/>
      <w:outlineLvl w:val="0"/>
    </w:pPr>
    <w:rPr>
      <w:rFonts w:eastAsia="黑体"/>
      <w:bCs/>
      <w:kern w:val="44"/>
      <w:szCs w:val="44"/>
    </w:rPr>
  </w:style>
  <w:style w:type="paragraph" w:styleId="3">
    <w:name w:val="heading 2"/>
    <w:basedOn w:val="1"/>
    <w:next w:val="1"/>
    <w:link w:val="43"/>
    <w:unhideWhenUsed/>
    <w:qFormat/>
    <w:uiPriority w:val="9"/>
    <w:pPr>
      <w:keepNext/>
      <w:keepLines/>
      <w:spacing w:before="260" w:after="260" w:line="416" w:lineRule="auto"/>
      <w:jc w:val="center"/>
      <w:outlineLvl w:val="1"/>
    </w:pPr>
    <w:rPr>
      <w:rFonts w:ascii="等线 Light" w:hAnsi="等线 Light" w:eastAsia="黑体" w:cs="黑体"/>
      <w:bCs/>
      <w:sz w:val="32"/>
      <w:szCs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4">
    <w:name w:val="annotation text"/>
    <w:basedOn w:val="1"/>
    <w:link w:val="39"/>
    <w:unhideWhenUsed/>
    <w:qFormat/>
    <w:uiPriority w:val="99"/>
    <w:pPr>
      <w:jc w:val="left"/>
    </w:p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Date"/>
    <w:basedOn w:val="1"/>
    <w:next w:val="1"/>
    <w:link w:val="37"/>
    <w:unhideWhenUsed/>
    <w:qFormat/>
    <w:uiPriority w:val="99"/>
    <w:pPr>
      <w:ind w:left="100" w:leftChars="2500"/>
    </w:pPr>
  </w:style>
  <w:style w:type="paragraph" w:styleId="7">
    <w:name w:val="Balloon Text"/>
    <w:basedOn w:val="1"/>
    <w:link w:val="41"/>
    <w:unhideWhenUsed/>
    <w:qFormat/>
    <w:uiPriority w:val="99"/>
    <w:rPr>
      <w:sz w:val="18"/>
      <w:szCs w:val="18"/>
    </w:rPr>
  </w:style>
  <w:style w:type="paragraph" w:styleId="8">
    <w:name w:val="footer"/>
    <w:basedOn w:val="1"/>
    <w:link w:val="35"/>
    <w:unhideWhenUsed/>
    <w:qFormat/>
    <w:uiPriority w:val="99"/>
    <w:pPr>
      <w:tabs>
        <w:tab w:val="center" w:pos="4153"/>
        <w:tab w:val="right" w:pos="8306"/>
      </w:tabs>
      <w:snapToGrid w:val="0"/>
      <w:jc w:val="left"/>
    </w:pPr>
    <w:rPr>
      <w:sz w:val="18"/>
      <w:szCs w:val="18"/>
    </w:rPr>
  </w:style>
  <w:style w:type="paragraph" w:styleId="9">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HTML Preformatted"/>
    <w:basedOn w:val="1"/>
    <w:link w:val="36"/>
    <w:unhideWhenUsed/>
    <w:qFormat/>
    <w:uiPriority w:val="99"/>
    <w:rPr>
      <w:rFonts w:ascii="Courier New" w:hAnsi="Courier New" w:cs="Courier New"/>
      <w:sz w:val="20"/>
      <w:szCs w:val="20"/>
    </w:rPr>
  </w:style>
  <w:style w:type="paragraph" w:styleId="13">
    <w:name w:val="annotation subject"/>
    <w:basedOn w:val="4"/>
    <w:next w:val="4"/>
    <w:link w:val="40"/>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563C1"/>
      <w:u w:val="single"/>
    </w:rPr>
  </w:style>
  <w:style w:type="character" w:styleId="18">
    <w:name w:val="annotation reference"/>
    <w:basedOn w:val="16"/>
    <w:unhideWhenUsed/>
    <w:qFormat/>
    <w:uiPriority w:val="99"/>
    <w:rPr>
      <w:sz w:val="21"/>
      <w:szCs w:val="21"/>
    </w:rPr>
  </w:style>
  <w:style w:type="paragraph" w:customStyle="1" w:styleId="19">
    <w:name w:val="文献分类号"/>
    <w:qFormat/>
    <w:uiPriority w:val="99"/>
    <w:pPr>
      <w:widowControl w:val="0"/>
      <w:textAlignment w:val="center"/>
    </w:pPr>
    <w:rPr>
      <w:rFonts w:ascii="Times New Roman" w:hAnsi="Times New Roman" w:eastAsia="黑体" w:cs="Times New Roman"/>
      <w:kern w:val="0"/>
      <w:sz w:val="21"/>
      <w:szCs w:val="20"/>
      <w:lang w:val="en-US" w:eastAsia="zh-CN" w:bidi="ar-SA"/>
    </w:rPr>
  </w:style>
  <w:style w:type="paragraph" w:customStyle="1" w:styleId="20">
    <w:name w:val="其他标准称谓"/>
    <w:qFormat/>
    <w:uiPriority w:val="99"/>
    <w:pPr>
      <w:spacing w:line="240" w:lineRule="atLeast"/>
      <w:jc w:val="distribute"/>
    </w:pPr>
    <w:rPr>
      <w:rFonts w:ascii="黑体" w:hAnsi="宋体" w:eastAsia="黑体" w:cs="Times New Roman"/>
      <w:kern w:val="0"/>
      <w:sz w:val="52"/>
      <w:szCs w:val="20"/>
      <w:lang w:val="en-US" w:eastAsia="zh-CN" w:bidi="ar-SA"/>
    </w:rPr>
  </w:style>
  <w:style w:type="paragraph" w:customStyle="1" w:styleId="21">
    <w:name w:val="TOC Heading"/>
    <w:basedOn w:val="2"/>
    <w:next w:val="1"/>
    <w:unhideWhenUsed/>
    <w:qFormat/>
    <w:uiPriority w:val="39"/>
    <w:pPr>
      <w:widowControl/>
      <w:spacing w:before="240" w:after="0" w:line="259" w:lineRule="auto"/>
      <w:jc w:val="left"/>
      <w:outlineLvl w:val="9"/>
    </w:pPr>
    <w:rPr>
      <w:rFonts w:ascii="等线 Light" w:hAnsi="等线 Light" w:eastAsia="等线 Light" w:cs="黑体"/>
      <w:bCs w:val="0"/>
      <w:color w:val="2D73B3"/>
      <w:kern w:val="0"/>
      <w:sz w:val="32"/>
      <w:szCs w:val="32"/>
    </w:rPr>
  </w:style>
  <w:style w:type="paragraph" w:customStyle="1" w:styleId="2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
    <w:name w:val="段"/>
    <w:qFormat/>
    <w:uiPriority w:val="1"/>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
    <w:name w:val="章标题"/>
    <w:next w:val="23"/>
    <w:qFormat/>
    <w:uiPriority w:val="2441"/>
    <w:pPr>
      <w:numPr>
        <w:ilvl w:val="1"/>
        <w:numId w:val="1"/>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25">
    <w:name w:val="一级条标题"/>
    <w:next w:val="23"/>
    <w:qFormat/>
    <w:uiPriority w:val="1654"/>
    <w:pPr>
      <w:numPr>
        <w:ilvl w:val="2"/>
        <w:numId w:val="1"/>
      </w:numPr>
      <w:outlineLvl w:val="2"/>
    </w:pPr>
    <w:rPr>
      <w:rFonts w:ascii="Times New Roman" w:hAnsi="Times New Roman" w:eastAsia="黑体" w:cs="Times New Roman"/>
      <w:sz w:val="21"/>
      <w:lang w:val="en-US" w:eastAsia="zh-CN" w:bidi="ar-SA"/>
    </w:rPr>
  </w:style>
  <w:style w:type="paragraph" w:customStyle="1" w:styleId="26">
    <w:name w:val="二级条标题"/>
    <w:basedOn w:val="25"/>
    <w:next w:val="23"/>
    <w:qFormat/>
    <w:uiPriority w:val="1654"/>
    <w:pPr>
      <w:numPr>
        <w:ilvl w:val="3"/>
        <w:numId w:val="1"/>
      </w:numPr>
      <w:outlineLvl w:val="3"/>
    </w:pPr>
  </w:style>
  <w:style w:type="paragraph" w:customStyle="1" w:styleId="27">
    <w:name w:val="标准文件_目录标题"/>
    <w:basedOn w:val="1"/>
    <w:qFormat/>
    <w:uiPriority w:val="0"/>
    <w:pPr>
      <w:spacing w:after="150" w:afterLines="150" w:line="240" w:lineRule="auto"/>
      <w:jc w:val="center"/>
    </w:pPr>
    <w:rPr>
      <w:rFonts w:ascii="黑体" w:eastAsia="黑体"/>
      <w:sz w:val="32"/>
    </w:rPr>
  </w:style>
  <w:style w:type="paragraph" w:customStyle="1" w:styleId="28">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29">
    <w:name w:val="标准文件_页眉偶数页"/>
    <w:basedOn w:val="28"/>
    <w:next w:val="1"/>
    <w:qFormat/>
    <w:uiPriority w:val="0"/>
    <w:pPr>
      <w:jc w:val="left"/>
    </w:pPr>
  </w:style>
  <w:style w:type="paragraph" w:customStyle="1" w:styleId="30">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31">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2">
    <w:name w:val="其他发布部门"/>
    <w:basedOn w:val="33"/>
    <w:qFormat/>
    <w:uiPriority w:val="0"/>
    <w:pPr>
      <w:spacing w:line="0" w:lineRule="atLeast"/>
    </w:pPr>
    <w:rPr>
      <w:rFonts w:ascii="黑体" w:eastAsia="黑体"/>
      <w:b w:val="0"/>
    </w:rPr>
  </w:style>
  <w:style w:type="paragraph" w:customStyle="1" w:styleId="33">
    <w:name w:val="发布部门"/>
    <w:next w:val="23"/>
    <w:qFormat/>
    <w:uiPriority w:val="0"/>
    <w:pPr>
      <w:framePr w:w="7433" w:h="585" w:hRule="exact" w:hSpace="180" w:vSpace="180" w:wrap="around" w:vAnchor="margin" w:hAnchor="margin" w:xAlign="center" w:y="14401" w:anchorLock="1"/>
      <w:ind w:firstLine="200" w:firstLineChars="200"/>
      <w:jc w:val="center"/>
    </w:pPr>
    <w:rPr>
      <w:rFonts w:ascii="宋体" w:hAnsi="Times New Roman" w:eastAsia="宋体" w:cs="Times New Roman"/>
      <w:b/>
      <w:spacing w:val="20"/>
      <w:w w:val="135"/>
      <w:sz w:val="36"/>
      <w:lang w:val="en-US" w:eastAsia="zh-CN" w:bidi="ar-SA"/>
    </w:rPr>
  </w:style>
  <w:style w:type="character" w:customStyle="1" w:styleId="34">
    <w:name w:val="页眉 Char"/>
    <w:basedOn w:val="16"/>
    <w:link w:val="9"/>
    <w:qFormat/>
    <w:uiPriority w:val="99"/>
    <w:rPr>
      <w:sz w:val="18"/>
      <w:szCs w:val="18"/>
    </w:rPr>
  </w:style>
  <w:style w:type="character" w:customStyle="1" w:styleId="35">
    <w:name w:val="页脚 Char"/>
    <w:basedOn w:val="16"/>
    <w:link w:val="8"/>
    <w:qFormat/>
    <w:uiPriority w:val="99"/>
    <w:rPr>
      <w:sz w:val="18"/>
      <w:szCs w:val="18"/>
    </w:rPr>
  </w:style>
  <w:style w:type="character" w:customStyle="1" w:styleId="36">
    <w:name w:val="HTML 预设格式 Char"/>
    <w:basedOn w:val="16"/>
    <w:link w:val="12"/>
    <w:semiHidden/>
    <w:qFormat/>
    <w:uiPriority w:val="99"/>
    <w:rPr>
      <w:rFonts w:ascii="Courier New" w:hAnsi="Courier New" w:cs="Courier New"/>
      <w:sz w:val="20"/>
      <w:szCs w:val="20"/>
    </w:rPr>
  </w:style>
  <w:style w:type="character" w:customStyle="1" w:styleId="37">
    <w:name w:val="日期 Char"/>
    <w:basedOn w:val="16"/>
    <w:link w:val="6"/>
    <w:semiHidden/>
    <w:qFormat/>
    <w:uiPriority w:val="99"/>
  </w:style>
  <w:style w:type="character" w:customStyle="1" w:styleId="38">
    <w:name w:val="Placeholder Text"/>
    <w:basedOn w:val="16"/>
    <w:semiHidden/>
    <w:qFormat/>
    <w:uiPriority w:val="99"/>
    <w:rPr>
      <w:color w:val="808080"/>
    </w:rPr>
  </w:style>
  <w:style w:type="character" w:customStyle="1" w:styleId="39">
    <w:name w:val="批注文字 Char"/>
    <w:basedOn w:val="16"/>
    <w:link w:val="4"/>
    <w:semiHidden/>
    <w:qFormat/>
    <w:uiPriority w:val="99"/>
  </w:style>
  <w:style w:type="character" w:customStyle="1" w:styleId="40">
    <w:name w:val="批注主题 Char"/>
    <w:basedOn w:val="39"/>
    <w:link w:val="13"/>
    <w:semiHidden/>
    <w:qFormat/>
    <w:uiPriority w:val="99"/>
    <w:rPr>
      <w:b/>
      <w:bCs/>
    </w:rPr>
  </w:style>
  <w:style w:type="character" w:customStyle="1" w:styleId="41">
    <w:name w:val="批注框文本 Char"/>
    <w:basedOn w:val="16"/>
    <w:link w:val="7"/>
    <w:semiHidden/>
    <w:qFormat/>
    <w:uiPriority w:val="99"/>
    <w:rPr>
      <w:sz w:val="18"/>
      <w:szCs w:val="18"/>
    </w:rPr>
  </w:style>
  <w:style w:type="character" w:customStyle="1" w:styleId="42">
    <w:name w:val="标题 1 Char"/>
    <w:basedOn w:val="16"/>
    <w:link w:val="2"/>
    <w:qFormat/>
    <w:uiPriority w:val="9"/>
    <w:rPr>
      <w:rFonts w:eastAsia="黑体"/>
      <w:bCs/>
      <w:kern w:val="44"/>
      <w:szCs w:val="44"/>
    </w:rPr>
  </w:style>
  <w:style w:type="character" w:customStyle="1" w:styleId="43">
    <w:name w:val="标题 2 Char"/>
    <w:basedOn w:val="16"/>
    <w:link w:val="3"/>
    <w:qFormat/>
    <w:uiPriority w:val="9"/>
    <w:rPr>
      <w:rFonts w:ascii="等线 Light" w:hAnsi="等线 Light" w:eastAsia="黑体" w:cs="黑体"/>
      <w:bCs/>
      <w:sz w:val="32"/>
      <w:szCs w:val="32"/>
    </w:rPr>
  </w:style>
  <w:style w:type="character" w:customStyle="1" w:styleId="44">
    <w:name w:val="发布"/>
    <w:basedOn w:val="16"/>
    <w:qFormat/>
    <w:uiPriority w:val="0"/>
    <w:rPr>
      <w:rFonts w:ascii="黑体" w:eastAsia="黑体"/>
      <w:spacing w:val="22"/>
      <w:w w:val="100"/>
      <w:position w:val="3"/>
      <w:sz w:val="28"/>
    </w:rPr>
  </w:style>
  <w:style w:type="table" w:customStyle="1" w:styleId="45">
    <w:name w:val="网格型1"/>
    <w:basedOn w:val="14"/>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2643</Words>
  <Characters>3302</Characters>
  <Lines>1</Lines>
  <Paragraphs>1</Paragraphs>
  <TotalTime>0</TotalTime>
  <ScaleCrop>false</ScaleCrop>
  <LinksUpToDate>false</LinksUpToDate>
  <CharactersWithSpaces>0</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2021-11-07T19:18:00Z</dcterms:created>
  <dc:creator>渔 人</dc:creator>
  <cp:lastModifiedBy>user</cp:lastModifiedBy>
  <cp:lastPrinted>2022-08-19T15:55:00Z</cp:lastPrinted>
  <dcterms:modified xsi:type="dcterms:W3CDTF">2022-09-23T13:33:50Z</dcterms:modified>
  <dc:title>ICS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E64C4B40D2E947B39653A73CBB9A68F5</vt:lpwstr>
  </property>
</Properties>
</file>